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5747A2" w14:textId="77777777" w:rsidR="005142BC" w:rsidRDefault="00900A54">
      <w:pPr>
        <w:tabs>
          <w:tab w:val="center" w:pos="4536"/>
          <w:tab w:val="right" w:pos="9355"/>
          <w:tab w:val="right" w:pos="9639"/>
        </w:tabs>
        <w:snapToGrid w:val="0"/>
        <w:spacing w:after="0"/>
        <w:rPr>
          <w:rFonts w:ascii="Arial" w:eastAsia="SimSun" w:hAnsi="Arial" w:cs="Arial"/>
          <w:b/>
          <w:bCs/>
          <w:sz w:val="22"/>
          <w:szCs w:val="22"/>
          <w:lang w:val="en-US" w:eastAsia="zh-CN"/>
        </w:rPr>
      </w:pPr>
      <w:r>
        <w:rPr>
          <w:rFonts w:ascii="Arial" w:hAnsi="Arial" w:cs="Arial"/>
          <w:b/>
          <w:bCs/>
          <w:sz w:val="22"/>
          <w:szCs w:val="22"/>
        </w:rPr>
        <w:t>3GPP TSG RAN WG1 Meeting #9</w:t>
      </w:r>
      <w:r>
        <w:rPr>
          <w:rFonts w:ascii="Arial" w:eastAsia="SimSun" w:hAnsi="Arial" w:cs="Arial" w:hint="eastAsia"/>
          <w:b/>
          <w:bCs/>
          <w:sz w:val="22"/>
          <w:szCs w:val="22"/>
          <w:lang w:val="en-US" w:eastAsia="zh-CN"/>
        </w:rPr>
        <w:t xml:space="preserve">4bis                                   </w:t>
      </w:r>
      <w:r>
        <w:rPr>
          <w:rFonts w:ascii="Arial" w:hAnsi="Arial" w:cs="Arial"/>
          <w:b/>
          <w:bCs/>
          <w:sz w:val="22"/>
          <w:szCs w:val="22"/>
        </w:rPr>
        <w:tab/>
      </w:r>
      <w:r>
        <w:rPr>
          <w:rFonts w:ascii="Arial" w:eastAsia="SimSun" w:hAnsi="Arial" w:cs="Arial" w:hint="eastAsia"/>
          <w:b/>
          <w:bCs/>
          <w:sz w:val="22"/>
          <w:szCs w:val="22"/>
          <w:lang w:val="en-US" w:eastAsia="zh-CN"/>
        </w:rPr>
        <w:t xml:space="preserve">                               </w:t>
      </w:r>
      <w:r>
        <w:rPr>
          <w:rFonts w:ascii="Arial" w:hAnsi="Arial" w:cs="Arial"/>
          <w:b/>
          <w:bCs/>
          <w:sz w:val="22"/>
          <w:szCs w:val="22"/>
        </w:rPr>
        <w:t>R1-18</w:t>
      </w:r>
      <w:r>
        <w:rPr>
          <w:rFonts w:ascii="Arial" w:eastAsia="SimSun" w:hAnsi="Arial" w:cs="Arial" w:hint="eastAsia"/>
          <w:b/>
          <w:bCs/>
          <w:sz w:val="22"/>
          <w:szCs w:val="22"/>
          <w:lang w:val="en-US" w:eastAsia="zh-CN"/>
        </w:rPr>
        <w:t>10729</w:t>
      </w:r>
    </w:p>
    <w:p w14:paraId="7763FEA5" w14:textId="77777777" w:rsidR="005142BC" w:rsidRDefault="00900A54">
      <w:pPr>
        <w:pStyle w:val="Header"/>
        <w:snapToGrid w:val="0"/>
        <w:spacing w:afterLines="50" w:after="180"/>
        <w:rPr>
          <w:rFonts w:eastAsia="MS Mincho" w:cs="Arial"/>
          <w:bCs/>
          <w:sz w:val="22"/>
          <w:szCs w:val="22"/>
          <w:lang w:eastAsia="ja-JP"/>
        </w:rPr>
      </w:pPr>
      <w:r>
        <w:rPr>
          <w:rFonts w:cs="Arial"/>
          <w:bCs/>
          <w:sz w:val="22"/>
          <w:szCs w:val="22"/>
          <w:lang w:val="en-GB" w:eastAsia="ja-JP"/>
        </w:rPr>
        <w:t>Chengdu, China, October 8th – 12th, 2018</w:t>
      </w:r>
    </w:p>
    <w:p w14:paraId="522CF641" w14:textId="77777777" w:rsidR="005142BC" w:rsidRDefault="00900A54">
      <w:pPr>
        <w:pStyle w:val="Header"/>
        <w:snapToGrid w:val="0"/>
        <w:rPr>
          <w:rFonts w:eastAsia="SimSun"/>
          <w:sz w:val="22"/>
          <w:szCs w:val="22"/>
          <w:lang w:eastAsia="zh-CN"/>
        </w:rPr>
      </w:pPr>
      <w:r>
        <w:rPr>
          <w:sz w:val="22"/>
          <w:szCs w:val="22"/>
        </w:rPr>
        <w:t>Source:</w:t>
      </w:r>
      <w:r>
        <w:rPr>
          <w:rFonts w:eastAsia="SimSun" w:hint="eastAsia"/>
          <w:sz w:val="22"/>
          <w:szCs w:val="22"/>
          <w:lang w:eastAsia="zh-CN"/>
        </w:rPr>
        <w:t xml:space="preserve">             </w:t>
      </w:r>
      <w:r>
        <w:rPr>
          <w:sz w:val="22"/>
          <w:szCs w:val="22"/>
        </w:rPr>
        <w:t>ZTE</w:t>
      </w:r>
      <w:bookmarkStart w:id="0" w:name="_GoBack"/>
      <w:bookmarkEnd w:id="0"/>
    </w:p>
    <w:p w14:paraId="21EFEE43" w14:textId="36318B19" w:rsidR="005142BC" w:rsidRDefault="00900A54">
      <w:pPr>
        <w:pStyle w:val="Header"/>
        <w:snapToGrid w:val="0"/>
        <w:rPr>
          <w:rFonts w:eastAsia="SimSun"/>
          <w:sz w:val="22"/>
          <w:szCs w:val="22"/>
          <w:lang w:eastAsia="zh-CN"/>
        </w:rPr>
      </w:pPr>
      <w:r>
        <w:rPr>
          <w:sz w:val="22"/>
          <w:szCs w:val="22"/>
        </w:rPr>
        <w:t>Title:</w:t>
      </w:r>
      <w:r>
        <w:rPr>
          <w:rFonts w:eastAsia="SimSun" w:hint="eastAsia"/>
          <w:sz w:val="22"/>
          <w:szCs w:val="22"/>
          <w:lang w:eastAsia="zh-CN"/>
        </w:rPr>
        <w:t xml:space="preserve">                  </w:t>
      </w:r>
      <w:r w:rsidR="00CC5EA8">
        <w:rPr>
          <w:rFonts w:eastAsia="SimSun"/>
          <w:sz w:val="22"/>
          <w:szCs w:val="22"/>
          <w:lang w:eastAsia="zh-CN"/>
        </w:rPr>
        <w:t>Coexistence</w:t>
      </w:r>
      <w:r>
        <w:rPr>
          <w:rFonts w:eastAsia="SimSun" w:hint="eastAsia"/>
          <w:sz w:val="22"/>
          <w:szCs w:val="22"/>
          <w:lang w:eastAsia="zh-CN"/>
        </w:rPr>
        <w:t xml:space="preserve"> between NR </w:t>
      </w:r>
      <w:r w:rsidR="00CC5EA8">
        <w:rPr>
          <w:rFonts w:eastAsia="SimSun"/>
          <w:sz w:val="22"/>
          <w:szCs w:val="22"/>
          <w:lang w:eastAsia="zh-CN"/>
        </w:rPr>
        <w:t>V2X</w:t>
      </w:r>
      <w:r>
        <w:rPr>
          <w:rFonts w:eastAsia="SimSun" w:hint="eastAsia"/>
          <w:sz w:val="22"/>
          <w:szCs w:val="22"/>
          <w:lang w:eastAsia="zh-CN"/>
        </w:rPr>
        <w:t xml:space="preserve"> and LTE </w:t>
      </w:r>
      <w:r w:rsidR="00CC5EA8">
        <w:rPr>
          <w:rFonts w:eastAsia="SimSun"/>
          <w:sz w:val="22"/>
          <w:szCs w:val="22"/>
          <w:lang w:eastAsia="zh-CN"/>
        </w:rPr>
        <w:t>V2X</w:t>
      </w:r>
    </w:p>
    <w:p w14:paraId="0C94413B" w14:textId="77777777" w:rsidR="005142BC" w:rsidRDefault="00900A54">
      <w:pPr>
        <w:pStyle w:val="Header"/>
        <w:snapToGrid w:val="0"/>
        <w:rPr>
          <w:rFonts w:eastAsia="SimSun"/>
          <w:sz w:val="22"/>
          <w:szCs w:val="22"/>
          <w:lang w:eastAsia="zh-CN"/>
        </w:rPr>
      </w:pPr>
      <w:r>
        <w:rPr>
          <w:sz w:val="22"/>
          <w:szCs w:val="22"/>
        </w:rPr>
        <w:t>Agenda item:</w:t>
      </w:r>
      <w:r>
        <w:rPr>
          <w:rFonts w:eastAsia="SimSun" w:hint="eastAsia"/>
          <w:sz w:val="22"/>
          <w:szCs w:val="22"/>
          <w:lang w:eastAsia="zh-CN"/>
        </w:rPr>
        <w:t xml:space="preserve">    7.2.4.5</w:t>
      </w:r>
    </w:p>
    <w:p w14:paraId="2E973373" w14:textId="77777777" w:rsidR="005142BC" w:rsidRDefault="00900A54">
      <w:pPr>
        <w:pStyle w:val="Header"/>
        <w:snapToGrid w:val="0"/>
        <w:rPr>
          <w:rFonts w:eastAsia="SimSun"/>
          <w:sz w:val="22"/>
          <w:szCs w:val="22"/>
          <w:lang w:eastAsia="zh-CN"/>
        </w:rPr>
      </w:pPr>
      <w:r>
        <w:rPr>
          <w:sz w:val="22"/>
          <w:szCs w:val="22"/>
        </w:rPr>
        <w:t>Document for:  Discussion and Decision</w:t>
      </w:r>
    </w:p>
    <w:p w14:paraId="799D9366" w14:textId="77777777" w:rsidR="005142BC" w:rsidRDefault="00900A54">
      <w:pPr>
        <w:pStyle w:val="Heading1"/>
        <w:snapToGrid w:val="0"/>
        <w:spacing w:beforeLines="0" w:afterLines="50" w:after="180"/>
      </w:pPr>
      <w:r>
        <w:t>I</w:t>
      </w:r>
      <w:r>
        <w:rPr>
          <w:rFonts w:hint="eastAsia"/>
        </w:rPr>
        <w:t>ntroduction</w:t>
      </w:r>
    </w:p>
    <w:p w14:paraId="2D2C9AFB" w14:textId="029C184E" w:rsidR="005142BC" w:rsidRDefault="00900A54">
      <w:pPr>
        <w:snapToGrid w:val="0"/>
        <w:spacing w:afterLines="50"/>
        <w:rPr>
          <w:lang w:val="en-US" w:eastAsia="zh-CN"/>
        </w:rPr>
      </w:pPr>
      <w:r>
        <w:t>At the RAN</w:t>
      </w:r>
      <w:r>
        <w:rPr>
          <w:rFonts w:hint="eastAsia"/>
          <w:lang w:val="en-US" w:eastAsia="zh-CN"/>
        </w:rPr>
        <w:t xml:space="preserve">1 </w:t>
      </w:r>
      <w:r>
        <w:t>#</w:t>
      </w:r>
      <w:r>
        <w:rPr>
          <w:rFonts w:hint="eastAsia"/>
          <w:lang w:val="en-US" w:eastAsia="zh-CN"/>
        </w:rPr>
        <w:t>94</w:t>
      </w:r>
      <w:r>
        <w:t xml:space="preserve"> meeting, </w:t>
      </w:r>
      <w:r>
        <w:rPr>
          <w:rFonts w:eastAsia="SimSun" w:hint="eastAsia"/>
          <w:lang w:val="en-US" w:eastAsia="zh-CN"/>
        </w:rPr>
        <w:t xml:space="preserve">there are </w:t>
      </w:r>
      <w:r>
        <w:rPr>
          <w:rFonts w:hint="eastAsia"/>
          <w:lang w:val="en-US" w:eastAsia="zh-CN"/>
        </w:rPr>
        <w:t>agreements were approved for the item about coexistence between NR sidelink and LTE sidelink in a UE [1].</w:t>
      </w:r>
    </w:p>
    <w:p w14:paraId="23424A74" w14:textId="77777777" w:rsidR="005142BC" w:rsidRDefault="00900A54">
      <w:pPr>
        <w:spacing w:afterLines="50" w:line="260" w:lineRule="auto"/>
        <w:rPr>
          <w:b/>
          <w:lang w:val="en-US"/>
        </w:rPr>
      </w:pPr>
      <w:r>
        <w:rPr>
          <w:highlight w:val="green"/>
          <w:lang w:val="en-US"/>
        </w:rPr>
        <w:t>Agreements</w:t>
      </w:r>
      <w:r>
        <w:rPr>
          <w:b/>
          <w:lang w:val="en-US"/>
        </w:rPr>
        <w:t>:</w:t>
      </w:r>
    </w:p>
    <w:p w14:paraId="412F119E" w14:textId="77777777" w:rsidR="005142BC" w:rsidRDefault="00900A54">
      <w:pPr>
        <w:snapToGrid w:val="0"/>
        <w:spacing w:afterLines="50"/>
        <w:rPr>
          <w:lang w:val="en-US" w:eastAsia="ko-KR"/>
        </w:rPr>
      </w:pPr>
      <w:r>
        <w:rPr>
          <w:rFonts w:hint="eastAsia"/>
          <w:lang w:eastAsia="zh-CN"/>
        </w:rPr>
        <w:t xml:space="preserve">For the study of LTE-V2X and NR-V2X </w:t>
      </w:r>
      <w:r>
        <w:rPr>
          <w:rFonts w:hint="eastAsia"/>
          <w:lang w:eastAsia="ko-KR"/>
        </w:rPr>
        <w:t xml:space="preserve">sidelink </w:t>
      </w:r>
      <w:r>
        <w:rPr>
          <w:rFonts w:hint="eastAsia"/>
          <w:lang w:eastAsia="zh-CN"/>
        </w:rPr>
        <w:t xml:space="preserve">co-existence, </w:t>
      </w:r>
      <w:r>
        <w:rPr>
          <w:rFonts w:hint="eastAsia"/>
          <w:lang w:eastAsia="ko-KR"/>
        </w:rPr>
        <w:t xml:space="preserve">at least the following scenarios are considered from the UEs perspective: </w:t>
      </w:r>
    </w:p>
    <w:p w14:paraId="45C3AD32" w14:textId="77777777" w:rsidR="005142BC" w:rsidRDefault="00900A54">
      <w:pPr>
        <w:pStyle w:val="ListParagraph"/>
        <w:numPr>
          <w:ilvl w:val="0"/>
          <w:numId w:val="2"/>
        </w:numPr>
        <w:ind w:leftChars="0"/>
        <w:contextualSpacing/>
        <w:rPr>
          <w:lang w:val="en-US" w:eastAsia="ko-KR"/>
        </w:rPr>
      </w:pPr>
      <w:r>
        <w:rPr>
          <w:rFonts w:hint="eastAsia"/>
          <w:lang w:eastAsia="ko-KR"/>
        </w:rPr>
        <w:t>LTE sidelink and NR sidelink do not have any coordinated procedures</w:t>
      </w:r>
    </w:p>
    <w:p w14:paraId="7ED825FC" w14:textId="77777777" w:rsidR="005142BC" w:rsidRDefault="00900A54">
      <w:pPr>
        <w:pStyle w:val="ListParagraph"/>
        <w:numPr>
          <w:ilvl w:val="0"/>
          <w:numId w:val="2"/>
        </w:numPr>
        <w:ind w:leftChars="0"/>
        <w:contextualSpacing/>
        <w:rPr>
          <w:rFonts w:eastAsia="Malgun Gothic"/>
          <w:lang w:val="en-US" w:eastAsia="ko-KR"/>
        </w:rPr>
      </w:pPr>
      <w:r>
        <w:rPr>
          <w:rFonts w:hint="eastAsia"/>
          <w:lang w:eastAsia="ko-KR"/>
        </w:rPr>
        <w:t xml:space="preserve">LTE sidelink and NR sidelink have coordinated procedures and </w:t>
      </w:r>
      <w:r>
        <w:rPr>
          <w:rFonts w:hint="eastAsia"/>
          <w:lang w:eastAsia="zh-CN"/>
        </w:rPr>
        <w:t>half-dup</w:t>
      </w:r>
      <w:r>
        <w:rPr>
          <w:rFonts w:hint="eastAsia"/>
          <w:lang w:eastAsia="ko-KR"/>
        </w:rPr>
        <w:t>l</w:t>
      </w:r>
      <w:r>
        <w:rPr>
          <w:rFonts w:hint="eastAsia"/>
          <w:lang w:eastAsia="zh-CN"/>
        </w:rPr>
        <w:t>ex constraints are assumed</w:t>
      </w:r>
    </w:p>
    <w:p w14:paraId="4536380C" w14:textId="77777777" w:rsidR="005142BC" w:rsidRDefault="00900A54">
      <w:pPr>
        <w:pStyle w:val="ListParagraph"/>
        <w:numPr>
          <w:ilvl w:val="1"/>
          <w:numId w:val="2"/>
        </w:numPr>
        <w:ind w:leftChars="0"/>
        <w:contextualSpacing/>
        <w:rPr>
          <w:rFonts w:eastAsia="Malgun Gothic"/>
          <w:lang w:val="en-US" w:eastAsia="ko-KR"/>
        </w:rPr>
      </w:pPr>
      <w:r>
        <w:rPr>
          <w:rFonts w:hint="eastAsia"/>
          <w:lang w:eastAsia="ko-KR"/>
        </w:rPr>
        <w:t>RAN1 will focus on this scenario in the SI</w:t>
      </w:r>
    </w:p>
    <w:p w14:paraId="4C10F5CE" w14:textId="77777777" w:rsidR="005142BC" w:rsidRDefault="00900A54">
      <w:pPr>
        <w:rPr>
          <w:b/>
        </w:rPr>
      </w:pPr>
      <w:r>
        <w:rPr>
          <w:highlight w:val="green"/>
        </w:rPr>
        <w:t>Agreements</w:t>
      </w:r>
      <w:r>
        <w:rPr>
          <w:b/>
        </w:rPr>
        <w:t>:</w:t>
      </w:r>
    </w:p>
    <w:p w14:paraId="41B2CAAF" w14:textId="77777777" w:rsidR="005142BC" w:rsidRDefault="00900A54">
      <w:pPr>
        <w:snapToGrid w:val="0"/>
        <w:spacing w:afterLines="50"/>
        <w:rPr>
          <w:lang w:eastAsia="zh-CN"/>
        </w:rPr>
      </w:pPr>
      <w:r>
        <w:rPr>
          <w:rFonts w:hint="eastAsia"/>
          <w:lang w:eastAsia="zh-CN"/>
        </w:rPr>
        <w:t xml:space="preserve">RAN1 focus on at least the following potential solutions for coexistence at least until the next meeting: </w:t>
      </w:r>
    </w:p>
    <w:p w14:paraId="0316762B" w14:textId="77777777" w:rsidR="005142BC" w:rsidRDefault="00900A54">
      <w:pPr>
        <w:pStyle w:val="ListParagraph"/>
        <w:numPr>
          <w:ilvl w:val="0"/>
          <w:numId w:val="3"/>
        </w:numPr>
        <w:ind w:leftChars="0"/>
        <w:contextualSpacing/>
        <w:rPr>
          <w:lang w:eastAsia="zh-CN"/>
        </w:rPr>
      </w:pPr>
      <w:r>
        <w:rPr>
          <w:lang w:eastAsia="zh-CN"/>
        </w:rPr>
        <w:t>TDM of LTE V2X and NR V2X sidelink transmissions</w:t>
      </w:r>
    </w:p>
    <w:p w14:paraId="0FBFF3E4" w14:textId="77777777" w:rsidR="005142BC" w:rsidRDefault="00900A54">
      <w:pPr>
        <w:pStyle w:val="ListParagraph"/>
        <w:numPr>
          <w:ilvl w:val="0"/>
          <w:numId w:val="3"/>
        </w:numPr>
        <w:ind w:leftChars="0"/>
        <w:contextualSpacing/>
        <w:rPr>
          <w:lang w:eastAsia="zh-CN"/>
        </w:rPr>
      </w:pPr>
      <w:r>
        <w:rPr>
          <w:lang w:eastAsia="zh-CN"/>
        </w:rPr>
        <w:t>FDM of LTE V2X and NR V2X sidelink transmissions</w:t>
      </w:r>
    </w:p>
    <w:p w14:paraId="51FC2202" w14:textId="77777777" w:rsidR="005142BC" w:rsidRDefault="00900A54">
      <w:pPr>
        <w:snapToGrid w:val="0"/>
        <w:spacing w:afterLines="50" w:line="260" w:lineRule="auto"/>
        <w:rPr>
          <w:rFonts w:eastAsia="SimSun"/>
          <w:lang w:val="en-US" w:eastAsia="zh-CN"/>
        </w:rPr>
      </w:pPr>
      <w:r>
        <w:rPr>
          <w:rFonts w:eastAsia="SimSun" w:hint="eastAsia"/>
          <w:lang w:val="en-US" w:eastAsia="zh-CN"/>
        </w:rPr>
        <w:t xml:space="preserve">In this </w:t>
      </w:r>
      <w:r>
        <w:rPr>
          <w:rFonts w:eastAsia="SimSun"/>
          <w:lang w:val="en-US" w:eastAsia="zh-CN"/>
        </w:rPr>
        <w:t xml:space="preserve">contribution, we </w:t>
      </w:r>
      <w:r>
        <w:rPr>
          <w:rFonts w:eastAsia="SimSun" w:hint="eastAsia"/>
          <w:lang w:val="en-US" w:eastAsia="zh-CN"/>
        </w:rPr>
        <w:t xml:space="preserve">will further </w:t>
      </w:r>
      <w:r>
        <w:rPr>
          <w:rFonts w:eastAsia="SimSun"/>
          <w:lang w:val="en-US" w:eastAsia="zh-CN"/>
        </w:rPr>
        <w:t xml:space="preserve">discuss </w:t>
      </w:r>
      <w:r>
        <w:rPr>
          <w:rFonts w:eastAsia="SimSun" w:hint="eastAsia"/>
          <w:lang w:val="en-US" w:eastAsia="zh-CN"/>
        </w:rPr>
        <w:t xml:space="preserve">some issues and potential solutions about </w:t>
      </w:r>
      <w:r>
        <w:rPr>
          <w:lang w:val="en-US" w:eastAsia="zh-CN"/>
        </w:rPr>
        <w:t xml:space="preserve">the coexistence </w:t>
      </w:r>
      <w:r>
        <w:rPr>
          <w:lang w:val="en-US" w:eastAsia="ko-KR"/>
        </w:rPr>
        <w:t>mechanisms</w:t>
      </w:r>
      <w:r>
        <w:rPr>
          <w:rFonts w:eastAsia="SimSun"/>
          <w:lang w:val="en-US" w:eastAsia="zh-CN"/>
        </w:rPr>
        <w:t>.</w:t>
      </w:r>
    </w:p>
    <w:p w14:paraId="50B18FB3" w14:textId="77777777" w:rsidR="005142BC" w:rsidRDefault="00900A54">
      <w:pPr>
        <w:pStyle w:val="Heading1"/>
        <w:snapToGrid w:val="0"/>
        <w:spacing w:beforeLines="0" w:afterLines="50" w:after="180"/>
        <w:rPr>
          <w:sz w:val="32"/>
          <w:szCs w:val="32"/>
        </w:rPr>
      </w:pPr>
      <w:r>
        <w:rPr>
          <w:rFonts w:hint="eastAsia"/>
          <w:sz w:val="32"/>
          <w:szCs w:val="32"/>
          <w:lang w:val="en-US"/>
        </w:rPr>
        <w:t>Discussion</w:t>
      </w:r>
    </w:p>
    <w:p w14:paraId="46E2B239" w14:textId="77777777" w:rsidR="005142BC" w:rsidRDefault="00900A54">
      <w:pPr>
        <w:pStyle w:val="Heading2"/>
      </w:pPr>
      <w:r>
        <w:rPr>
          <w:rFonts w:hint="eastAsia"/>
        </w:rPr>
        <w:t>Issues of coexistence</w:t>
      </w:r>
    </w:p>
    <w:p w14:paraId="01DC19A4" w14:textId="7C759D8B" w:rsidR="005142BC" w:rsidRDefault="00900A54">
      <w:pPr>
        <w:snapToGrid w:val="0"/>
        <w:spacing w:afterLines="50"/>
        <w:rPr>
          <w:lang w:val="en-US" w:eastAsia="zh-CN"/>
        </w:rPr>
      </w:pPr>
      <w:r>
        <w:rPr>
          <w:rFonts w:hint="eastAsia"/>
          <w:lang w:val="en-US" w:eastAsia="zh-CN"/>
        </w:rPr>
        <w:t>According to the objective about coexistence in SI</w:t>
      </w:r>
      <w:r w:rsidR="001601CD">
        <w:rPr>
          <w:lang w:val="en-US" w:eastAsia="zh-CN"/>
        </w:rPr>
        <w:t xml:space="preserve"> </w:t>
      </w:r>
      <w:r>
        <w:rPr>
          <w:rFonts w:hint="eastAsia"/>
          <w:lang w:val="en-US" w:eastAsia="zh-CN"/>
        </w:rPr>
        <w:t xml:space="preserve">[2], this study only considers the coexistence between the advanced </w:t>
      </w:r>
      <w:r>
        <w:rPr>
          <w:lang w:val="en-US"/>
        </w:rPr>
        <w:t>V2X services provided by NR sidelink</w:t>
      </w:r>
      <w:r>
        <w:rPr>
          <w:rFonts w:hint="eastAsia"/>
          <w:lang w:val="en-US" w:eastAsia="zh-CN"/>
        </w:rPr>
        <w:t xml:space="preserve"> (named NR V2X services) and V2X service provided by LTE sidelink (named LTE V2X service) in </w:t>
      </w:r>
      <w:r>
        <w:rPr>
          <w:lang w:val="en-US" w:eastAsia="zh-CN"/>
        </w:rPr>
        <w:t xml:space="preserve">which </w:t>
      </w:r>
      <w:r>
        <w:rPr>
          <w:rFonts w:hint="eastAsia"/>
          <w:lang w:val="en-US" w:eastAsia="zh-CN"/>
        </w:rPr>
        <w:t>one UE supports both NR sidelink and LTE sidelink technologies, i.e., in-device coexistence. Some issues may exist in the case of in-device coexistence.</w:t>
      </w:r>
    </w:p>
    <w:p w14:paraId="73D04F63" w14:textId="77777777" w:rsidR="005142BC" w:rsidRDefault="00900A54">
      <w:pPr>
        <w:numPr>
          <w:ilvl w:val="0"/>
          <w:numId w:val="4"/>
        </w:numPr>
        <w:rPr>
          <w:b/>
          <w:lang w:val="en-US" w:eastAsia="zh-CN"/>
        </w:rPr>
      </w:pPr>
      <w:r>
        <w:rPr>
          <w:rFonts w:hint="eastAsia"/>
          <w:b/>
          <w:lang w:val="en-US" w:eastAsia="zh-CN"/>
        </w:rPr>
        <w:t>Interference</w:t>
      </w:r>
    </w:p>
    <w:p w14:paraId="19828C9E" w14:textId="379F065C" w:rsidR="005142BC" w:rsidRDefault="00900A54">
      <w:pPr>
        <w:snapToGrid w:val="0"/>
        <w:spacing w:afterLines="50"/>
        <w:rPr>
          <w:lang w:val="en-US" w:eastAsia="zh-CN"/>
        </w:rPr>
      </w:pPr>
      <w:r>
        <w:rPr>
          <w:rFonts w:hint="eastAsia"/>
          <w:lang w:val="en-US" w:eastAsia="zh-CN"/>
        </w:rPr>
        <w:t xml:space="preserve">Case 1: </w:t>
      </w:r>
      <w:r w:rsidR="00DB4B5C">
        <w:rPr>
          <w:lang w:val="en-US" w:eastAsia="zh-CN"/>
        </w:rPr>
        <w:t>B</w:t>
      </w:r>
      <w:r w:rsidR="00DB4B5C">
        <w:rPr>
          <w:rFonts w:hint="eastAsia"/>
          <w:lang w:val="en-US" w:eastAsia="zh-CN"/>
        </w:rPr>
        <w:t xml:space="preserve">etween </w:t>
      </w:r>
      <w:r>
        <w:rPr>
          <w:rFonts w:hint="eastAsia"/>
          <w:lang w:val="en-US" w:eastAsia="zh-CN"/>
        </w:rPr>
        <w:t>NR sidelink Tx and LTE sidelink Tx</w:t>
      </w:r>
    </w:p>
    <w:p w14:paraId="40595959" w14:textId="77777777" w:rsidR="005142BC" w:rsidRDefault="00900A54">
      <w:pPr>
        <w:snapToGrid w:val="0"/>
        <w:spacing w:afterLines="50"/>
        <w:rPr>
          <w:lang w:val="en-US" w:eastAsia="zh-CN"/>
        </w:rPr>
      </w:pPr>
      <w:r>
        <w:rPr>
          <w:rFonts w:hint="eastAsia"/>
          <w:lang w:val="en-US" w:eastAsia="zh-CN"/>
        </w:rPr>
        <w:t xml:space="preserve">Considering the case that the two channels are in the state of transmission at the same time, in-band or out-of-band emission should be noted. If the offset of the transmit power between the two channels is too much, one channel would </w:t>
      </w:r>
      <w:r>
        <w:rPr>
          <w:rFonts w:hint="eastAsia"/>
          <w:lang w:val="en-US" w:eastAsia="zh-CN"/>
        </w:rPr>
        <w:lastRenderedPageBreak/>
        <w:t xml:space="preserve">impact the reception of the other channel in the receiver. On the other hand, the inter-modulation interference may be caused by NR sidelink Tx and LTE sidelink Tx, which would impact signal reception in other receivers. </w:t>
      </w:r>
    </w:p>
    <w:p w14:paraId="3EC57DE7" w14:textId="1A3B447E" w:rsidR="005142BC" w:rsidRDefault="00900A54">
      <w:pPr>
        <w:snapToGrid w:val="0"/>
        <w:spacing w:afterLines="50"/>
        <w:rPr>
          <w:lang w:val="en-US" w:eastAsia="zh-CN"/>
        </w:rPr>
      </w:pPr>
      <w:r>
        <w:rPr>
          <w:rFonts w:hint="eastAsia"/>
          <w:lang w:val="en-US" w:eastAsia="zh-CN"/>
        </w:rPr>
        <w:t xml:space="preserve">Case 2: </w:t>
      </w:r>
      <w:r w:rsidR="00DB4B5C">
        <w:rPr>
          <w:lang w:val="en-US" w:eastAsia="zh-CN"/>
        </w:rPr>
        <w:t>B</w:t>
      </w:r>
      <w:r w:rsidR="00DB4B5C">
        <w:rPr>
          <w:rFonts w:hint="eastAsia"/>
          <w:lang w:val="en-US" w:eastAsia="zh-CN"/>
        </w:rPr>
        <w:t xml:space="preserve">etween </w:t>
      </w:r>
      <w:r>
        <w:rPr>
          <w:rFonts w:hint="eastAsia"/>
          <w:lang w:val="en-US" w:eastAsia="zh-CN"/>
        </w:rPr>
        <w:t>NR sidelink Tx/Rx and LTE sidelink Rx/Tx</w:t>
      </w:r>
    </w:p>
    <w:p w14:paraId="397BE734" w14:textId="29A540C4" w:rsidR="005142BC" w:rsidRDefault="00900A54">
      <w:pPr>
        <w:snapToGrid w:val="0"/>
        <w:spacing w:afterLines="50"/>
        <w:rPr>
          <w:lang w:val="en-US" w:eastAsia="zh-CN"/>
        </w:rPr>
      </w:pPr>
      <w:r>
        <w:rPr>
          <w:rFonts w:hint="eastAsia"/>
          <w:lang w:val="en-US" w:eastAsia="zh-CN"/>
        </w:rPr>
        <w:t xml:space="preserve">Considering the case that the two channels are in the state of transmission and reception respectively at the same time, in-device coexistence interference should be noted. Because the transmitter and the receiver are within close proximity in a UE, the transmit power of the transmitter may be much higher than the received power level of the receiver. Then in-device coexistence interference may be caused. If the two channels coexist in a band, it is also possible that a UE </w:t>
      </w:r>
      <w:r w:rsidR="000C2030">
        <w:rPr>
          <w:lang w:val="en-US" w:eastAsia="zh-CN"/>
        </w:rPr>
        <w:t>cannot</w:t>
      </w:r>
      <w:r>
        <w:rPr>
          <w:rFonts w:hint="eastAsia"/>
          <w:lang w:val="en-US" w:eastAsia="zh-CN"/>
        </w:rPr>
        <w:t xml:space="preserve"> finish sidelink </w:t>
      </w:r>
      <w:r w:rsidR="000C2030">
        <w:rPr>
          <w:lang w:val="en-US" w:eastAsia="zh-CN"/>
        </w:rPr>
        <w:t xml:space="preserve">transmissions for </w:t>
      </w:r>
      <w:r>
        <w:rPr>
          <w:rFonts w:hint="eastAsia"/>
          <w:lang w:val="en-US" w:eastAsia="zh-CN"/>
        </w:rPr>
        <w:t xml:space="preserve">Tx and </w:t>
      </w:r>
      <w:r w:rsidR="005C7482">
        <w:rPr>
          <w:lang w:val="en-US" w:eastAsia="zh-CN"/>
        </w:rPr>
        <w:t xml:space="preserve">receptions for </w:t>
      </w:r>
      <w:r>
        <w:rPr>
          <w:rFonts w:hint="eastAsia"/>
          <w:lang w:val="en-US" w:eastAsia="zh-CN"/>
        </w:rPr>
        <w:t>Rx simultaneously because of half-duplex constrain</w:t>
      </w:r>
      <w:r w:rsidR="00A32EC6">
        <w:rPr>
          <w:lang w:val="en-US" w:eastAsia="zh-CN"/>
        </w:rPr>
        <w:t>t</w:t>
      </w:r>
      <w:r>
        <w:rPr>
          <w:rFonts w:hint="eastAsia"/>
          <w:lang w:val="en-US" w:eastAsia="zh-CN"/>
        </w:rPr>
        <w:t xml:space="preserve">s. </w:t>
      </w:r>
    </w:p>
    <w:p w14:paraId="61617906" w14:textId="77777777" w:rsidR="005142BC" w:rsidRDefault="00900A54">
      <w:pPr>
        <w:snapToGrid w:val="0"/>
        <w:spacing w:afterLines="50"/>
        <w:rPr>
          <w:b/>
          <w:bCs/>
          <w:i/>
          <w:iCs/>
          <w:lang w:val="en-US" w:eastAsia="zh-CN"/>
        </w:rPr>
      </w:pPr>
      <w:r>
        <w:rPr>
          <w:rFonts w:hint="eastAsia"/>
          <w:b/>
          <w:bCs/>
          <w:i/>
          <w:iCs/>
          <w:lang w:val="en-US" w:eastAsia="zh-CN"/>
        </w:rPr>
        <w:t xml:space="preserve">Observation 1: When NR V2X services and LTE V2X service coexist in the same vehicle for the ‘not co-channel’ scenario, the interference may include in-band or out-of-band emission, inter-modulation interference and in-device coexistence interference. </w:t>
      </w:r>
    </w:p>
    <w:p w14:paraId="736CD1CA" w14:textId="77777777" w:rsidR="005142BC" w:rsidRDefault="00900A54">
      <w:pPr>
        <w:numPr>
          <w:ilvl w:val="0"/>
          <w:numId w:val="5"/>
        </w:numPr>
        <w:rPr>
          <w:b/>
          <w:lang w:val="en-US" w:eastAsia="zh-CN"/>
        </w:rPr>
      </w:pPr>
      <w:r>
        <w:rPr>
          <w:rFonts w:hint="eastAsia"/>
          <w:b/>
          <w:lang w:val="en-US" w:eastAsia="zh-CN"/>
        </w:rPr>
        <w:t xml:space="preserve">Power </w:t>
      </w:r>
      <w:r>
        <w:rPr>
          <w:b/>
          <w:lang w:val="en-US" w:eastAsia="zh-CN"/>
        </w:rPr>
        <w:t>restriction</w:t>
      </w:r>
    </w:p>
    <w:p w14:paraId="30B920D4" w14:textId="3FE75C95" w:rsidR="005142BC" w:rsidRDefault="00900A54">
      <w:pPr>
        <w:snapToGrid w:val="0"/>
        <w:spacing w:afterLines="50"/>
        <w:rPr>
          <w:lang w:val="en-US" w:eastAsia="zh-CN"/>
        </w:rPr>
      </w:pPr>
      <w:r>
        <w:rPr>
          <w:rFonts w:hint="eastAsia"/>
          <w:lang w:val="en-US" w:eastAsia="zh-CN"/>
        </w:rPr>
        <w:t xml:space="preserve">In general, the total transmit power in a device is limited. Power restriction should be noted when NRV2X services and LTE V2X service coexist in different channels in the ‘not co-channel’ scenario because the power amplifier is shared either in a band or in different bands. If NR V2X services and LTE V2X service are transmitted at the same time, power restriction would </w:t>
      </w:r>
      <w:r w:rsidR="005C7482">
        <w:rPr>
          <w:lang w:val="en-US" w:eastAsia="zh-CN"/>
        </w:rPr>
        <w:t>occur</w:t>
      </w:r>
      <w:r>
        <w:rPr>
          <w:rFonts w:hint="eastAsia"/>
          <w:lang w:val="en-US" w:eastAsia="zh-CN"/>
        </w:rPr>
        <w:t xml:space="preserve">. For example, when NR V2X services have been scheduled in a channel, the remaining power can be determined. If an LTE V2X service needs to transmit at the same time as the NR V2X services, the size of the LTE V2X data that can be scheduled is limited by the remaining power, </w:t>
      </w:r>
      <w:r>
        <w:rPr>
          <w:lang w:val="en-US" w:eastAsia="zh-CN"/>
        </w:rPr>
        <w:t>due to the power amplifier being sharable</w:t>
      </w:r>
      <w:r>
        <w:rPr>
          <w:rFonts w:hint="eastAsia"/>
          <w:lang w:val="en-US" w:eastAsia="zh-CN"/>
        </w:rPr>
        <w:t xml:space="preserve"> in a device. </w:t>
      </w:r>
    </w:p>
    <w:p w14:paraId="492D34F7" w14:textId="77777777" w:rsidR="005142BC" w:rsidRDefault="00900A54">
      <w:pPr>
        <w:snapToGrid w:val="0"/>
        <w:spacing w:afterLines="50"/>
        <w:rPr>
          <w:lang w:val="en-US" w:eastAsia="zh-CN"/>
        </w:rPr>
      </w:pPr>
      <w:r>
        <w:rPr>
          <w:rFonts w:hint="eastAsia"/>
          <w:b/>
          <w:bCs/>
          <w:i/>
          <w:iCs/>
          <w:lang w:val="en-US" w:eastAsia="zh-CN"/>
        </w:rPr>
        <w:t>Observation 2: If NR V2X services and LTE V2X service coexist in the same vehicle for the ‘not co-channel’ scenario, the transmit power restriction would exist.</w:t>
      </w:r>
    </w:p>
    <w:p w14:paraId="6655BA4D" w14:textId="77777777" w:rsidR="005142BC" w:rsidRDefault="00900A54">
      <w:pPr>
        <w:numPr>
          <w:ilvl w:val="0"/>
          <w:numId w:val="5"/>
        </w:numPr>
        <w:rPr>
          <w:lang w:val="en-US" w:eastAsia="zh-CN"/>
        </w:rPr>
      </w:pPr>
      <w:r>
        <w:rPr>
          <w:rFonts w:hint="eastAsia"/>
          <w:b/>
          <w:sz w:val="21"/>
          <w:szCs w:val="22"/>
          <w:lang w:val="en-US" w:eastAsia="zh-CN"/>
        </w:rPr>
        <w:t>Timing alignment</w:t>
      </w:r>
    </w:p>
    <w:p w14:paraId="01D8FC42" w14:textId="1EC85EC2" w:rsidR="005142BC" w:rsidRDefault="00900A54">
      <w:pPr>
        <w:snapToGrid w:val="0"/>
        <w:spacing w:afterLines="50"/>
        <w:rPr>
          <w:lang w:val="en-US" w:eastAsia="zh-CN"/>
        </w:rPr>
      </w:pPr>
      <w:r>
        <w:rPr>
          <w:rFonts w:hint="eastAsia"/>
          <w:lang w:val="en-US" w:eastAsia="zh-CN"/>
        </w:rPr>
        <w:t xml:space="preserve">If NR V2X </w:t>
      </w:r>
      <w:r w:rsidR="00523BC8">
        <w:rPr>
          <w:rFonts w:hint="eastAsia"/>
          <w:lang w:val="en-US" w:eastAsia="zh-CN"/>
        </w:rPr>
        <w:t>si</w:t>
      </w:r>
      <w:r w:rsidR="00523BC8">
        <w:rPr>
          <w:lang w:val="en-US" w:eastAsia="zh-CN"/>
        </w:rPr>
        <w:t>d</w:t>
      </w:r>
      <w:r w:rsidR="00523BC8">
        <w:rPr>
          <w:rFonts w:hint="eastAsia"/>
          <w:lang w:val="en-US" w:eastAsia="zh-CN"/>
        </w:rPr>
        <w:t xml:space="preserve">elink </w:t>
      </w:r>
      <w:r>
        <w:rPr>
          <w:rFonts w:hint="eastAsia"/>
          <w:lang w:val="en-US" w:eastAsia="zh-CN"/>
        </w:rPr>
        <w:t xml:space="preserve">and LTE V2X sidelink coexist in a device, the problem of timing alignment should be considered, e.g., alignment in subframe or symbol level. When NR V2X channel and LTE V2X channel coexist in a band, subframe or symbol alignment </w:t>
      </w:r>
      <w:r w:rsidR="00523BC8">
        <w:rPr>
          <w:lang w:val="en-US" w:eastAsia="zh-CN"/>
        </w:rPr>
        <w:t>cannot</w:t>
      </w:r>
      <w:r>
        <w:rPr>
          <w:rFonts w:hint="eastAsia"/>
          <w:lang w:val="en-US" w:eastAsia="zh-CN"/>
        </w:rPr>
        <w:t xml:space="preserve"> be maintained if the timings of the two channels are not aligned. Lower efficiency of resource</w:t>
      </w:r>
      <w:r w:rsidR="005C7482">
        <w:rPr>
          <w:lang w:val="en-US" w:eastAsia="zh-CN"/>
        </w:rPr>
        <w:t>s</w:t>
      </w:r>
      <w:r>
        <w:rPr>
          <w:rFonts w:hint="eastAsia"/>
          <w:lang w:val="en-US" w:eastAsia="zh-CN"/>
        </w:rPr>
        <w:t xml:space="preserve"> and power would be caused due to half-duplex constrain</w:t>
      </w:r>
      <w:r w:rsidR="005C7482">
        <w:rPr>
          <w:lang w:val="en-US" w:eastAsia="zh-CN"/>
        </w:rPr>
        <w:t>t</w:t>
      </w:r>
      <w:r>
        <w:rPr>
          <w:rFonts w:hint="eastAsia"/>
          <w:lang w:val="en-US" w:eastAsia="zh-CN"/>
        </w:rPr>
        <w:t xml:space="preserve">s and power restriction. For the case </w:t>
      </w:r>
      <w:r w:rsidR="00523BC8">
        <w:rPr>
          <w:lang w:val="en-US" w:eastAsia="zh-CN"/>
        </w:rPr>
        <w:t>when</w:t>
      </w:r>
      <w:r w:rsidR="00523BC8">
        <w:rPr>
          <w:rFonts w:hint="eastAsia"/>
          <w:lang w:val="en-US" w:eastAsia="zh-CN"/>
        </w:rPr>
        <w:t xml:space="preserve"> </w:t>
      </w:r>
      <w:r>
        <w:rPr>
          <w:rFonts w:hint="eastAsia"/>
          <w:lang w:val="en-US" w:eastAsia="zh-CN"/>
        </w:rPr>
        <w:t>the NR V2X channel and LTE V2X channel coexist out of band, it is also valuable to align timings of the two channels. Otherwise</w:t>
      </w:r>
      <w:r w:rsidR="005C7482">
        <w:rPr>
          <w:lang w:val="en-US" w:eastAsia="zh-CN"/>
        </w:rPr>
        <w:t>,</w:t>
      </w:r>
      <w:r>
        <w:rPr>
          <w:rFonts w:hint="eastAsia"/>
          <w:lang w:val="en-US" w:eastAsia="zh-CN"/>
        </w:rPr>
        <w:t xml:space="preserve"> it </w:t>
      </w:r>
      <w:r w:rsidR="005C7482">
        <w:rPr>
          <w:lang w:val="en-US" w:eastAsia="zh-CN"/>
        </w:rPr>
        <w:t>c</w:t>
      </w:r>
      <w:r w:rsidR="005C7482">
        <w:rPr>
          <w:rFonts w:hint="eastAsia"/>
          <w:lang w:val="en-US" w:eastAsia="zh-CN"/>
        </w:rPr>
        <w:t xml:space="preserve">ould </w:t>
      </w:r>
      <w:r>
        <w:rPr>
          <w:rFonts w:hint="eastAsia"/>
          <w:lang w:val="en-US" w:eastAsia="zh-CN"/>
        </w:rPr>
        <w:t>result in more interference and lower efficiency of power.</w:t>
      </w:r>
    </w:p>
    <w:p w14:paraId="7C52331C" w14:textId="77777777" w:rsidR="005142BC" w:rsidRDefault="00900A54">
      <w:pPr>
        <w:snapToGrid w:val="0"/>
        <w:spacing w:afterLines="50"/>
        <w:rPr>
          <w:rFonts w:eastAsia="SimSun"/>
          <w:b/>
          <w:bCs/>
          <w:i/>
          <w:iCs/>
          <w:szCs w:val="22"/>
          <w:lang w:val="en-US" w:eastAsia="zh-CN"/>
        </w:rPr>
      </w:pPr>
      <w:r>
        <w:rPr>
          <w:rFonts w:hint="eastAsia"/>
          <w:b/>
          <w:bCs/>
          <w:i/>
          <w:iCs/>
          <w:lang w:val="en-US" w:eastAsia="zh-CN"/>
        </w:rPr>
        <w:t>Proposal 1: The problem of timing alignment should be considered for coexistence between NR V2X and LTE V2X.</w:t>
      </w:r>
    </w:p>
    <w:p w14:paraId="787FAFC8" w14:textId="77777777" w:rsidR="005142BC" w:rsidRDefault="00900A54">
      <w:pPr>
        <w:pStyle w:val="Heading2"/>
      </w:pPr>
      <w:r>
        <w:rPr>
          <w:rFonts w:hint="eastAsia"/>
        </w:rPr>
        <w:t>Potential solutions</w:t>
      </w:r>
    </w:p>
    <w:p w14:paraId="5587911A" w14:textId="6B4F60D1" w:rsidR="005142BC" w:rsidRDefault="00900A54">
      <w:pPr>
        <w:snapToGrid w:val="0"/>
        <w:spacing w:afterLines="50"/>
        <w:rPr>
          <w:lang w:val="en-US" w:eastAsia="zh-CN"/>
        </w:rPr>
      </w:pPr>
      <w:r>
        <w:rPr>
          <w:rFonts w:hint="eastAsia"/>
          <w:lang w:val="en-US" w:eastAsia="zh-CN"/>
        </w:rPr>
        <w:t>From the viewpoint of RAN1, some potential solutions can be investigated in the following directions</w:t>
      </w:r>
      <w:r w:rsidR="00903B06">
        <w:rPr>
          <w:lang w:val="en-US" w:eastAsia="zh-CN"/>
        </w:rPr>
        <w:t xml:space="preserve"> we</w:t>
      </w:r>
      <w:r w:rsidR="00EA042B">
        <w:rPr>
          <w:lang w:val="en-US" w:eastAsia="zh-CN"/>
        </w:rPr>
        <w:t xml:space="preserve"> describe </w:t>
      </w:r>
      <w:r>
        <w:rPr>
          <w:rFonts w:hint="eastAsia"/>
          <w:lang w:val="en-US" w:eastAsia="zh-CN"/>
        </w:rPr>
        <w:t>to mitigate the problems discussed above.</w:t>
      </w:r>
    </w:p>
    <w:p w14:paraId="4CD67F9E" w14:textId="77777777" w:rsidR="005142BC" w:rsidRDefault="00900A54">
      <w:pPr>
        <w:numPr>
          <w:ilvl w:val="0"/>
          <w:numId w:val="6"/>
        </w:numPr>
        <w:rPr>
          <w:rFonts w:eastAsia="SimSun"/>
          <w:b/>
          <w:lang w:val="en-US" w:eastAsia="zh-CN"/>
        </w:rPr>
      </w:pPr>
      <w:r>
        <w:rPr>
          <w:rFonts w:eastAsia="SimSun" w:hint="eastAsia"/>
          <w:b/>
          <w:lang w:val="en-US" w:eastAsia="zh-CN"/>
        </w:rPr>
        <w:t xml:space="preserve">TDM </w:t>
      </w:r>
    </w:p>
    <w:p w14:paraId="5BEA9CD3" w14:textId="558412B5" w:rsidR="005142BC" w:rsidRDefault="00900A54">
      <w:pPr>
        <w:snapToGrid w:val="0"/>
        <w:spacing w:afterLines="50"/>
        <w:rPr>
          <w:rFonts w:eastAsia="SimSun"/>
          <w:lang w:val="en-US" w:eastAsia="zh-CN"/>
        </w:rPr>
      </w:pPr>
      <w:r>
        <w:rPr>
          <w:rFonts w:eastAsia="SimSun" w:hint="eastAsia"/>
          <w:lang w:val="en-US" w:eastAsia="zh-CN"/>
        </w:rPr>
        <w:t>In order to avoid half-duplex constrain</w:t>
      </w:r>
      <w:r w:rsidR="007F2E34">
        <w:rPr>
          <w:rFonts w:eastAsia="SimSun"/>
          <w:lang w:val="en-US" w:eastAsia="zh-CN"/>
        </w:rPr>
        <w:t>t</w:t>
      </w:r>
      <w:r>
        <w:rPr>
          <w:rFonts w:eastAsia="SimSun" w:hint="eastAsia"/>
          <w:lang w:val="en-US" w:eastAsia="zh-CN"/>
        </w:rPr>
        <w:t xml:space="preserve">s and interference, TDM of transmission resources is a simple solution. It would be valuable to make the timings of two channels aligned via synchronization mechanism. Based on timing alignment, the resources for NR V2X and the resources for LTE V2X can be configured or preconfigured in a TDM manner. If the resources for the two channels are configured by </w:t>
      </w:r>
      <w:r w:rsidR="001D27E9">
        <w:rPr>
          <w:rFonts w:eastAsia="SimSun"/>
          <w:lang w:val="en-US" w:eastAsia="zh-CN"/>
        </w:rPr>
        <w:t xml:space="preserve">a </w:t>
      </w:r>
      <w:r>
        <w:rPr>
          <w:rFonts w:eastAsia="SimSun" w:hint="eastAsia"/>
          <w:lang w:val="en-US" w:eastAsia="zh-CN"/>
        </w:rPr>
        <w:t xml:space="preserve">different base station of different RATs (e.g., gNB and </w:t>
      </w:r>
      <w:proofErr w:type="spellStart"/>
      <w:r>
        <w:rPr>
          <w:rFonts w:eastAsia="SimSun" w:hint="eastAsia"/>
          <w:lang w:val="en-US" w:eastAsia="zh-CN"/>
        </w:rPr>
        <w:t>eNB</w:t>
      </w:r>
      <w:proofErr w:type="spellEnd"/>
      <w:r>
        <w:rPr>
          <w:rFonts w:eastAsia="SimSun" w:hint="eastAsia"/>
          <w:lang w:val="en-US" w:eastAsia="zh-CN"/>
        </w:rPr>
        <w:t xml:space="preserve">), </w:t>
      </w:r>
      <w:r w:rsidR="001601CD">
        <w:rPr>
          <w:lang w:val="en-US" w:eastAsia="ko-KR"/>
        </w:rPr>
        <w:t>coordination</w:t>
      </w:r>
      <w:r w:rsidR="007F2E34">
        <w:rPr>
          <w:rFonts w:eastAsia="SimSun" w:hint="eastAsia"/>
          <w:lang w:val="en-US" w:eastAsia="zh-CN"/>
        </w:rPr>
        <w:t xml:space="preserve"> </w:t>
      </w:r>
      <w:r>
        <w:rPr>
          <w:rFonts w:eastAsia="SimSun" w:hint="eastAsia"/>
          <w:lang w:val="en-US" w:eastAsia="zh-CN"/>
        </w:rPr>
        <w:t xml:space="preserve">between </w:t>
      </w:r>
      <w:r w:rsidR="001D27E9">
        <w:rPr>
          <w:rFonts w:eastAsia="SimSun"/>
          <w:lang w:val="en-US" w:eastAsia="zh-CN"/>
        </w:rPr>
        <w:t xml:space="preserve">the </w:t>
      </w:r>
      <w:r>
        <w:rPr>
          <w:rFonts w:eastAsia="SimSun" w:hint="eastAsia"/>
          <w:lang w:val="en-US" w:eastAsia="zh-CN"/>
        </w:rPr>
        <w:t xml:space="preserve">two networks may be needed. </w:t>
      </w:r>
    </w:p>
    <w:p w14:paraId="528F2EFB" w14:textId="62A72838" w:rsidR="005142BC" w:rsidRDefault="00900A54">
      <w:pPr>
        <w:snapToGrid w:val="0"/>
        <w:spacing w:afterLines="50"/>
        <w:rPr>
          <w:rFonts w:eastAsia="SimSun"/>
          <w:lang w:val="en-US" w:eastAsia="zh-CN"/>
        </w:rPr>
      </w:pPr>
      <w:r>
        <w:rPr>
          <w:rFonts w:eastAsia="SimSun" w:hint="eastAsia"/>
          <w:lang w:val="en-US" w:eastAsia="zh-CN"/>
        </w:rPr>
        <w:lastRenderedPageBreak/>
        <w:t xml:space="preserve">Based on the TDM scheme above, the impact (e.g., interference and </w:t>
      </w:r>
      <w:r w:rsidR="007F2E34">
        <w:rPr>
          <w:rFonts w:eastAsia="SimSun"/>
          <w:lang w:val="en-US" w:eastAsia="zh-CN"/>
        </w:rPr>
        <w:t>h</w:t>
      </w:r>
      <w:r w:rsidR="007F2E34">
        <w:rPr>
          <w:rFonts w:eastAsia="SimSun" w:hint="eastAsia"/>
          <w:lang w:val="en-US" w:eastAsia="zh-CN"/>
        </w:rPr>
        <w:t>alf</w:t>
      </w:r>
      <w:r>
        <w:rPr>
          <w:rFonts w:eastAsia="SimSun" w:hint="eastAsia"/>
          <w:lang w:val="en-US" w:eastAsia="zh-CN"/>
        </w:rPr>
        <w:t>-duplex constrain</w:t>
      </w:r>
      <w:r w:rsidR="007F2E34">
        <w:rPr>
          <w:rFonts w:eastAsia="SimSun"/>
          <w:lang w:val="en-US" w:eastAsia="zh-CN"/>
        </w:rPr>
        <w:t>t</w:t>
      </w:r>
      <w:r>
        <w:rPr>
          <w:rFonts w:eastAsia="SimSun" w:hint="eastAsia"/>
          <w:lang w:val="en-US" w:eastAsia="zh-CN"/>
        </w:rPr>
        <w:t xml:space="preserve">s) between LTE V2X and NR V2X can be avoided. In </w:t>
      </w:r>
      <w:r w:rsidR="007F2E34">
        <w:rPr>
          <w:rFonts w:eastAsia="SimSun"/>
          <w:lang w:val="en-US" w:eastAsia="zh-CN"/>
        </w:rPr>
        <w:t>summary</w:t>
      </w:r>
      <w:r>
        <w:rPr>
          <w:rFonts w:eastAsia="SimSun" w:hint="eastAsia"/>
          <w:lang w:val="en-US" w:eastAsia="zh-CN"/>
        </w:rPr>
        <w:t xml:space="preserve">, the TDM scheme can work </w:t>
      </w:r>
      <w:r w:rsidR="001601CD">
        <w:rPr>
          <w:rFonts w:eastAsia="SimSun"/>
          <w:lang w:val="en-US" w:eastAsia="zh-CN"/>
        </w:rPr>
        <w:t>for the</w:t>
      </w:r>
      <w:r w:rsidR="001601CD">
        <w:rPr>
          <w:rFonts w:eastAsia="SimSun" w:hint="eastAsia"/>
          <w:lang w:val="en-US" w:eastAsia="zh-CN"/>
        </w:rPr>
        <w:t xml:space="preserve"> </w:t>
      </w:r>
      <w:r>
        <w:rPr>
          <w:rFonts w:eastAsia="SimSun" w:hint="eastAsia"/>
          <w:lang w:val="en-US" w:eastAsia="zh-CN"/>
        </w:rPr>
        <w:t xml:space="preserve">in-device coexistence case. </w:t>
      </w:r>
    </w:p>
    <w:p w14:paraId="5A0A3557" w14:textId="77777777" w:rsidR="005142BC" w:rsidRDefault="00900A54">
      <w:pPr>
        <w:snapToGrid w:val="0"/>
        <w:spacing w:afterLines="50"/>
        <w:rPr>
          <w:lang w:val="en-US" w:eastAsia="zh-CN"/>
        </w:rPr>
      </w:pPr>
      <w:r>
        <w:rPr>
          <w:rFonts w:hint="eastAsia"/>
          <w:b/>
          <w:bCs/>
          <w:i/>
          <w:iCs/>
          <w:lang w:val="en-US" w:eastAsia="zh-CN"/>
        </w:rPr>
        <w:t xml:space="preserve">Observation 3: TDM of transmission resources between LTE V2X and NR V2X can work to avoid the impact between the two technologies.  </w:t>
      </w:r>
    </w:p>
    <w:p w14:paraId="54AD227F" w14:textId="77777777" w:rsidR="005142BC" w:rsidRDefault="00900A54">
      <w:pPr>
        <w:numPr>
          <w:ilvl w:val="0"/>
          <w:numId w:val="6"/>
        </w:numPr>
        <w:rPr>
          <w:rFonts w:eastAsia="SimSun"/>
          <w:b/>
          <w:sz w:val="21"/>
          <w:szCs w:val="22"/>
          <w:lang w:val="en-US" w:eastAsia="zh-CN"/>
        </w:rPr>
      </w:pPr>
      <w:r>
        <w:rPr>
          <w:rFonts w:eastAsia="SimSun" w:hint="eastAsia"/>
          <w:b/>
          <w:sz w:val="21"/>
          <w:szCs w:val="22"/>
          <w:lang w:val="en-US" w:eastAsia="zh-CN"/>
        </w:rPr>
        <w:t xml:space="preserve">FDM </w:t>
      </w:r>
    </w:p>
    <w:p w14:paraId="11113E74" w14:textId="52B6BD5A" w:rsidR="005142BC" w:rsidRDefault="00900A54">
      <w:pPr>
        <w:snapToGrid w:val="0"/>
        <w:spacing w:afterLines="50"/>
        <w:rPr>
          <w:rFonts w:eastAsia="SimSun"/>
          <w:lang w:val="en-US" w:eastAsia="zh-CN"/>
        </w:rPr>
      </w:pPr>
      <w:r>
        <w:rPr>
          <w:rFonts w:hint="eastAsia"/>
          <w:lang w:val="en-US" w:eastAsia="zh-CN"/>
        </w:rPr>
        <w:t xml:space="preserve">For a UE, if one channel transmission/reception is interfered significantly, it can change the frequency resources or carriers to avoid interference via resource allocation or selection. </w:t>
      </w:r>
      <w:r w:rsidR="001601CD">
        <w:rPr>
          <w:rFonts w:eastAsia="SimSun"/>
          <w:lang w:val="en-US" w:eastAsia="zh-CN"/>
        </w:rPr>
        <w:t xml:space="preserve">So, coordinated </w:t>
      </w:r>
      <w:r>
        <w:rPr>
          <w:rFonts w:hint="eastAsia"/>
          <w:lang w:eastAsia="ko-KR"/>
        </w:rPr>
        <w:t>procedures</w:t>
      </w:r>
      <w:r>
        <w:rPr>
          <w:rFonts w:eastAsia="SimSun" w:hint="eastAsia"/>
          <w:lang w:val="en-US" w:eastAsia="zh-CN"/>
        </w:rPr>
        <w:t xml:space="preserve"> between LTE sidelink and NR sidelink </w:t>
      </w:r>
      <w:r>
        <w:rPr>
          <w:rFonts w:hint="eastAsia"/>
          <w:lang w:val="en-US" w:eastAsia="zh-CN"/>
        </w:rPr>
        <w:t xml:space="preserve">technologies or between UE and network may be needed to assist </w:t>
      </w:r>
      <w:r w:rsidR="001601CD">
        <w:rPr>
          <w:lang w:val="en-US" w:eastAsia="zh-CN"/>
        </w:rPr>
        <w:t xml:space="preserve">in </w:t>
      </w:r>
      <w:r>
        <w:rPr>
          <w:rFonts w:hint="eastAsia"/>
          <w:lang w:val="en-US" w:eastAsia="zh-CN"/>
        </w:rPr>
        <w:t>resource allocation/selection for FDM solution.</w:t>
      </w:r>
      <w:r>
        <w:rPr>
          <w:rFonts w:eastAsia="SimSun" w:hint="eastAsia"/>
          <w:lang w:val="en-US" w:eastAsia="zh-CN"/>
        </w:rPr>
        <w:t xml:space="preserve"> </w:t>
      </w:r>
    </w:p>
    <w:p w14:paraId="5D959339" w14:textId="184996DB" w:rsidR="005142BC" w:rsidRDefault="00900A54">
      <w:pPr>
        <w:snapToGrid w:val="0"/>
        <w:spacing w:afterLines="50"/>
        <w:rPr>
          <w:lang w:val="en-US" w:eastAsia="zh-CN"/>
        </w:rPr>
      </w:pPr>
      <w:r>
        <w:rPr>
          <w:rFonts w:hint="eastAsia"/>
          <w:lang w:val="en-US" w:eastAsia="zh-CN"/>
        </w:rPr>
        <w:t xml:space="preserve">For </w:t>
      </w:r>
      <w:r w:rsidR="008F28F7">
        <w:rPr>
          <w:lang w:val="en-US" w:eastAsia="zh-CN"/>
        </w:rPr>
        <w:t>M</w:t>
      </w:r>
      <w:r w:rsidR="008F28F7">
        <w:rPr>
          <w:rFonts w:hint="eastAsia"/>
          <w:lang w:val="en-US" w:eastAsia="zh-CN"/>
        </w:rPr>
        <w:t xml:space="preserve">ode </w:t>
      </w:r>
      <w:r>
        <w:rPr>
          <w:rFonts w:hint="eastAsia"/>
          <w:lang w:val="en-US" w:eastAsia="zh-CN"/>
        </w:rPr>
        <w:t>1, the UEs can report the frequency resources or carrier with interference to gNB/</w:t>
      </w:r>
      <w:proofErr w:type="spellStart"/>
      <w:r>
        <w:rPr>
          <w:rFonts w:hint="eastAsia"/>
          <w:lang w:val="en-US" w:eastAsia="zh-CN"/>
        </w:rPr>
        <w:t>eNB</w:t>
      </w:r>
      <w:proofErr w:type="spellEnd"/>
      <w:r>
        <w:rPr>
          <w:rFonts w:hint="eastAsia"/>
          <w:lang w:val="en-US" w:eastAsia="zh-CN"/>
        </w:rPr>
        <w:t>, the gNB/</w:t>
      </w:r>
      <w:proofErr w:type="spellStart"/>
      <w:r>
        <w:rPr>
          <w:rFonts w:hint="eastAsia"/>
          <w:lang w:val="en-US" w:eastAsia="zh-CN"/>
        </w:rPr>
        <w:t>eNB</w:t>
      </w:r>
      <w:proofErr w:type="spellEnd"/>
      <w:r>
        <w:rPr>
          <w:rFonts w:hint="eastAsia"/>
          <w:lang w:val="en-US" w:eastAsia="zh-CN"/>
        </w:rPr>
        <w:t xml:space="preserve"> then schedule different frequency resources to the UEs or indicate the UEs changed carriers. For </w:t>
      </w:r>
      <w:r w:rsidR="008F28F7">
        <w:rPr>
          <w:lang w:val="en-US" w:eastAsia="zh-CN"/>
        </w:rPr>
        <w:t>M</w:t>
      </w:r>
      <w:r w:rsidR="008F28F7">
        <w:rPr>
          <w:rFonts w:hint="eastAsia"/>
          <w:lang w:val="en-US" w:eastAsia="zh-CN"/>
        </w:rPr>
        <w:t xml:space="preserve">ode </w:t>
      </w:r>
      <w:r>
        <w:rPr>
          <w:rFonts w:hint="eastAsia"/>
          <w:lang w:val="en-US" w:eastAsia="zh-CN"/>
        </w:rPr>
        <w:t xml:space="preserve">2, the UEs can make adjustment autonomously. The UEs can reselect resources or carriers when the interference reaches a certain threshold level. The details of report and resource allocation/selection need to be studied further. </w:t>
      </w:r>
    </w:p>
    <w:p w14:paraId="45839EFA" w14:textId="77777777" w:rsidR="005142BC" w:rsidRDefault="00900A54">
      <w:pPr>
        <w:snapToGrid w:val="0"/>
        <w:spacing w:afterLines="50"/>
        <w:rPr>
          <w:b/>
          <w:bCs/>
          <w:i/>
          <w:iCs/>
          <w:szCs w:val="22"/>
          <w:lang w:val="en-US" w:eastAsia="zh-CN"/>
        </w:rPr>
      </w:pPr>
      <w:r>
        <w:rPr>
          <w:rFonts w:hint="eastAsia"/>
          <w:lang w:val="en-US" w:eastAsia="zh-CN"/>
        </w:rPr>
        <w:t xml:space="preserve"> </w:t>
      </w:r>
      <w:r>
        <w:rPr>
          <w:rFonts w:hint="eastAsia"/>
          <w:b/>
          <w:bCs/>
          <w:i/>
          <w:iCs/>
          <w:szCs w:val="22"/>
          <w:lang w:val="en-US" w:eastAsia="zh-CN"/>
        </w:rPr>
        <w:t xml:space="preserve">Observation 4: Coordinated procedures between different sidelink technologies or between UE and network need to be considered to assist resource allocation/selection for FDM solution. </w:t>
      </w:r>
    </w:p>
    <w:p w14:paraId="6576B35C" w14:textId="68897AFA" w:rsidR="005142BC" w:rsidRDefault="00900A54">
      <w:pPr>
        <w:snapToGrid w:val="0"/>
        <w:spacing w:afterLines="50"/>
        <w:rPr>
          <w:b/>
          <w:bCs/>
          <w:i/>
          <w:iCs/>
          <w:szCs w:val="22"/>
          <w:lang w:val="en-US" w:eastAsia="zh-CN"/>
        </w:rPr>
      </w:pPr>
      <w:r>
        <w:rPr>
          <w:rFonts w:hint="eastAsia"/>
          <w:b/>
          <w:bCs/>
          <w:i/>
          <w:iCs/>
          <w:szCs w:val="22"/>
          <w:lang w:val="en-US" w:eastAsia="zh-CN"/>
        </w:rPr>
        <w:t xml:space="preserve">Proposal 2: For </w:t>
      </w:r>
      <w:r w:rsidR="00746115">
        <w:rPr>
          <w:b/>
          <w:bCs/>
          <w:i/>
          <w:iCs/>
          <w:szCs w:val="22"/>
          <w:lang w:val="en-US" w:eastAsia="zh-CN"/>
        </w:rPr>
        <w:t xml:space="preserve">the </w:t>
      </w:r>
      <w:r>
        <w:rPr>
          <w:rFonts w:hint="eastAsia"/>
          <w:b/>
          <w:bCs/>
          <w:i/>
          <w:iCs/>
          <w:szCs w:val="22"/>
          <w:lang w:val="en-US" w:eastAsia="zh-CN"/>
        </w:rPr>
        <w:t>FDM solution, mechanisms of report and resource allocation/selection need to be studied further.</w:t>
      </w:r>
    </w:p>
    <w:p w14:paraId="15CBC8C2" w14:textId="77777777" w:rsidR="005142BC" w:rsidRDefault="00900A54">
      <w:pPr>
        <w:snapToGrid w:val="0"/>
        <w:spacing w:afterLines="50"/>
        <w:rPr>
          <w:lang w:val="en-US" w:eastAsia="zh-CN"/>
        </w:rPr>
      </w:pPr>
      <w:r>
        <w:rPr>
          <w:rFonts w:hint="eastAsia"/>
          <w:b/>
          <w:bCs/>
          <w:i/>
          <w:iCs/>
          <w:szCs w:val="22"/>
          <w:lang w:val="en-US" w:eastAsia="zh-CN"/>
        </w:rPr>
        <w:t xml:space="preserve">Proposal 3: From the viewpoint of simplicity, TDM solution should be considered as baseline to address the issues of in-device coexistence between the two sidelink technologies.  </w:t>
      </w:r>
    </w:p>
    <w:p w14:paraId="45E18960" w14:textId="77777777" w:rsidR="005142BC" w:rsidRDefault="00900A54">
      <w:pPr>
        <w:numPr>
          <w:ilvl w:val="0"/>
          <w:numId w:val="7"/>
        </w:numPr>
        <w:rPr>
          <w:rFonts w:eastAsia="SimSun"/>
          <w:b/>
          <w:lang w:val="en-US" w:eastAsia="zh-CN"/>
        </w:rPr>
      </w:pPr>
      <w:r>
        <w:rPr>
          <w:rFonts w:eastAsia="SimSun" w:hint="eastAsia"/>
          <w:b/>
          <w:lang w:val="en-US" w:eastAsia="zh-CN"/>
        </w:rPr>
        <w:t xml:space="preserve">Power </w:t>
      </w:r>
      <w:r>
        <w:rPr>
          <w:rFonts w:eastAsia="SimSun"/>
          <w:b/>
          <w:lang w:val="en-US" w:eastAsia="zh-CN"/>
        </w:rPr>
        <w:t>management</w:t>
      </w:r>
    </w:p>
    <w:p w14:paraId="78600BFA" w14:textId="6AB84E96" w:rsidR="005142BC" w:rsidRDefault="00900A54">
      <w:pPr>
        <w:snapToGrid w:val="0"/>
        <w:spacing w:afterLines="50"/>
        <w:rPr>
          <w:lang w:val="en-US" w:eastAsia="zh-CN"/>
        </w:rPr>
      </w:pPr>
      <w:r>
        <w:rPr>
          <w:rFonts w:hint="eastAsia"/>
          <w:lang w:val="en-US" w:eastAsia="zh-CN"/>
        </w:rPr>
        <w:t xml:space="preserve">Power management includes power allocation as well as power control. When NR V2X transmission and LTE V2X transmission coexist at the same time, transmit power should be allocated in the two channels. By this way, the two channel transmissions can be fully finished (i.e., the power may not </w:t>
      </w:r>
      <w:r w:rsidR="00746115">
        <w:rPr>
          <w:lang w:val="en-US" w:eastAsia="zh-CN"/>
        </w:rPr>
        <w:t xml:space="preserve">be </w:t>
      </w:r>
      <w:r>
        <w:rPr>
          <w:rFonts w:hint="eastAsia"/>
          <w:lang w:val="en-US" w:eastAsia="zh-CN"/>
        </w:rPr>
        <w:t>enough to support the transmission of all scheduled data). The introduction of a rule for power sharing between the channels could be considered. For example, the two channels sharing transmit power based on the same ratio or the LTE V2X service could be scheduled with higher priority as a rule. The UE could also drop transmission in one channel in order to ensure there is enough transmit power for the transmission in the other channel with the higher priority.</w:t>
      </w:r>
    </w:p>
    <w:p w14:paraId="17B86970" w14:textId="478B0A66" w:rsidR="005142BC" w:rsidRDefault="00900A54">
      <w:pPr>
        <w:snapToGrid w:val="0"/>
        <w:spacing w:afterLines="50"/>
        <w:rPr>
          <w:lang w:val="en-US" w:eastAsia="zh-CN"/>
        </w:rPr>
      </w:pPr>
      <w:r>
        <w:rPr>
          <w:rFonts w:hint="eastAsia"/>
          <w:lang w:val="en-US" w:eastAsia="zh-CN"/>
        </w:rPr>
        <w:t xml:space="preserve">On the other hand, power control is helpful for mitigating in-device coexistence interference. The UE can report the requirement of power adjustment even the values of the power control parameters to the </w:t>
      </w:r>
      <w:proofErr w:type="spellStart"/>
      <w:r>
        <w:rPr>
          <w:rFonts w:hint="eastAsia"/>
          <w:lang w:val="en-US" w:eastAsia="zh-CN"/>
        </w:rPr>
        <w:t>eNB</w:t>
      </w:r>
      <w:proofErr w:type="spellEnd"/>
      <w:r>
        <w:rPr>
          <w:rFonts w:hint="eastAsia"/>
          <w:lang w:val="en-US" w:eastAsia="zh-CN"/>
        </w:rPr>
        <w:t xml:space="preserve"> or gNB. Upon reception of the report, the </w:t>
      </w:r>
      <w:proofErr w:type="spellStart"/>
      <w:r>
        <w:rPr>
          <w:rFonts w:hint="eastAsia"/>
          <w:lang w:val="en-US" w:eastAsia="zh-CN"/>
        </w:rPr>
        <w:t>eNB</w:t>
      </w:r>
      <w:proofErr w:type="spellEnd"/>
      <w:r>
        <w:rPr>
          <w:rFonts w:hint="eastAsia"/>
          <w:lang w:val="en-US" w:eastAsia="zh-CN"/>
        </w:rPr>
        <w:t xml:space="preserve"> or gNB can accept the suggestion </w:t>
      </w:r>
      <w:r w:rsidR="001601CD">
        <w:rPr>
          <w:lang w:val="en-US" w:eastAsia="zh-CN"/>
        </w:rPr>
        <w:t>from</w:t>
      </w:r>
      <w:r w:rsidR="001601CD">
        <w:rPr>
          <w:rFonts w:hint="eastAsia"/>
          <w:lang w:val="en-US" w:eastAsia="zh-CN"/>
        </w:rPr>
        <w:t xml:space="preserve"> </w:t>
      </w:r>
      <w:r>
        <w:rPr>
          <w:rFonts w:hint="eastAsia"/>
          <w:lang w:val="en-US" w:eastAsia="zh-CN"/>
        </w:rPr>
        <w:t xml:space="preserve">the UE and adjust the UE transmission power. If the sidelink transmission is unicast, the receiver can feedback the power control requirement to the </w:t>
      </w:r>
      <w:proofErr w:type="spellStart"/>
      <w:r w:rsidR="00746115">
        <w:rPr>
          <w:lang w:val="en-US" w:eastAsia="zh-CN"/>
        </w:rPr>
        <w:t>e</w:t>
      </w:r>
      <w:r>
        <w:rPr>
          <w:rFonts w:hint="eastAsia"/>
          <w:lang w:val="en-US" w:eastAsia="zh-CN"/>
        </w:rPr>
        <w:t>NB</w:t>
      </w:r>
      <w:proofErr w:type="spellEnd"/>
      <w:r>
        <w:rPr>
          <w:rFonts w:hint="eastAsia"/>
          <w:lang w:val="en-US" w:eastAsia="zh-CN"/>
        </w:rPr>
        <w:t xml:space="preserve">/gNB or the transmitter. </w:t>
      </w:r>
    </w:p>
    <w:p w14:paraId="18B1ABA8" w14:textId="3C1AC9B1" w:rsidR="005142BC" w:rsidRDefault="00900A54">
      <w:pPr>
        <w:snapToGrid w:val="0"/>
        <w:spacing w:afterLines="50"/>
        <w:rPr>
          <w:lang w:val="en-US" w:eastAsia="zh-CN"/>
        </w:rPr>
      </w:pPr>
      <w:r>
        <w:rPr>
          <w:rFonts w:hint="eastAsia"/>
          <w:lang w:val="en-US" w:eastAsia="zh-CN"/>
        </w:rPr>
        <w:t xml:space="preserve">It should be noted that the timing alignment should be maintained for power management. Otherwise, it would result in lower efficiency of power. </w:t>
      </w:r>
    </w:p>
    <w:p w14:paraId="731307D2" w14:textId="77777777" w:rsidR="005142BC" w:rsidRDefault="00900A54">
      <w:pPr>
        <w:snapToGrid w:val="0"/>
        <w:spacing w:afterLines="50"/>
        <w:rPr>
          <w:lang w:val="en-US" w:eastAsia="zh-CN"/>
        </w:rPr>
      </w:pPr>
      <w:r>
        <w:rPr>
          <w:rFonts w:hint="eastAsia"/>
          <w:b/>
          <w:bCs/>
          <w:i/>
          <w:iCs/>
          <w:lang w:val="en-US" w:eastAsia="zh-CN"/>
        </w:rPr>
        <w:t>Proposal 4: Power management for services in two channels for the ‘not co-channel’ in-device should be further studied for consideration.</w:t>
      </w:r>
    </w:p>
    <w:p w14:paraId="3C20018B" w14:textId="77777777" w:rsidR="005142BC" w:rsidRDefault="00900A54">
      <w:pPr>
        <w:pStyle w:val="Heading1"/>
        <w:spacing w:before="180"/>
        <w:rPr>
          <w:sz w:val="32"/>
          <w:szCs w:val="32"/>
          <w:lang w:val="en-US"/>
        </w:rPr>
      </w:pPr>
      <w:r>
        <w:rPr>
          <w:rFonts w:hint="eastAsia"/>
          <w:sz w:val="32"/>
          <w:szCs w:val="32"/>
          <w:lang w:val="en-US"/>
        </w:rPr>
        <w:lastRenderedPageBreak/>
        <w:t>Conclusion</w:t>
      </w:r>
    </w:p>
    <w:p w14:paraId="32E80DE2" w14:textId="77777777" w:rsidR="005142BC" w:rsidRDefault="00900A54">
      <w:pPr>
        <w:snapToGrid w:val="0"/>
        <w:spacing w:afterLines="50"/>
        <w:rPr>
          <w:rFonts w:eastAsia="SimSun"/>
          <w:lang w:val="en-US" w:eastAsia="zh-CN"/>
        </w:rPr>
      </w:pPr>
      <w:r>
        <w:rPr>
          <w:rFonts w:eastAsia="SimSun" w:hint="eastAsia"/>
          <w:lang w:val="en-US" w:eastAsia="zh-CN"/>
        </w:rPr>
        <w:t xml:space="preserve">This contribution focused on in-device coexistence between NR sidelink services and LTE sidelink service in </w:t>
      </w:r>
      <w:r>
        <w:rPr>
          <w:rFonts w:eastAsia="SimSun"/>
          <w:lang w:val="en-US" w:eastAsia="zh-CN"/>
        </w:rPr>
        <w:t>‘</w:t>
      </w:r>
      <w:r>
        <w:rPr>
          <w:rFonts w:eastAsia="SimSun" w:hint="eastAsia"/>
          <w:lang w:val="en-US" w:eastAsia="zh-CN"/>
        </w:rPr>
        <w:t>not co-channel</w:t>
      </w:r>
      <w:r>
        <w:rPr>
          <w:rFonts w:eastAsia="SimSun"/>
          <w:lang w:val="en-US" w:eastAsia="zh-CN"/>
        </w:rPr>
        <w:t>’</w:t>
      </w:r>
      <w:r>
        <w:rPr>
          <w:rFonts w:eastAsia="SimSun" w:hint="eastAsia"/>
          <w:lang w:val="en-US" w:eastAsia="zh-CN"/>
        </w:rPr>
        <w:t>. It also includes the following observations and proposals:</w:t>
      </w:r>
    </w:p>
    <w:p w14:paraId="0B696F85" w14:textId="77777777" w:rsidR="005142BC" w:rsidRDefault="00900A54">
      <w:pPr>
        <w:pStyle w:val="3"/>
        <w:snapToGrid w:val="0"/>
        <w:spacing w:afterLines="50"/>
        <w:ind w:firstLineChars="0" w:firstLine="0"/>
        <w:rPr>
          <w:b/>
          <w:bCs/>
          <w:i/>
          <w:iCs/>
          <w:lang w:val="en-US" w:eastAsia="zh-CN"/>
        </w:rPr>
      </w:pPr>
      <w:r>
        <w:rPr>
          <w:rFonts w:hint="eastAsia"/>
          <w:b/>
          <w:bCs/>
          <w:i/>
          <w:iCs/>
          <w:lang w:val="en-US" w:eastAsia="zh-CN"/>
        </w:rPr>
        <w:t>Observation 1: When NR V2X services and LTE V2X service coexist in the same vehicle for the ‘not co-channel’ scenario, the interference may include in-band or out-of-band emission, inter-modulation interference and in-device coexistence interference.</w:t>
      </w:r>
    </w:p>
    <w:p w14:paraId="66E801AE" w14:textId="77777777" w:rsidR="005142BC" w:rsidRDefault="00900A54">
      <w:pPr>
        <w:pStyle w:val="3"/>
        <w:snapToGrid w:val="0"/>
        <w:spacing w:afterLines="50"/>
        <w:ind w:firstLineChars="0" w:firstLine="0"/>
        <w:rPr>
          <w:b/>
          <w:bCs/>
          <w:i/>
          <w:iCs/>
          <w:lang w:val="en-US" w:eastAsia="zh-CN"/>
        </w:rPr>
      </w:pPr>
      <w:r>
        <w:rPr>
          <w:rFonts w:hint="eastAsia"/>
          <w:b/>
          <w:bCs/>
          <w:i/>
          <w:iCs/>
          <w:lang w:val="en-US" w:eastAsia="zh-CN"/>
        </w:rPr>
        <w:t>Observation 2: If NR V2X services and LTE V2X service coexist in the same vehicle for the ‘not co-channel’ scenario, the transmit power restriction would exist.</w:t>
      </w:r>
    </w:p>
    <w:p w14:paraId="6D954B2C" w14:textId="77777777" w:rsidR="005142BC" w:rsidRDefault="00900A54">
      <w:pPr>
        <w:pStyle w:val="3"/>
        <w:snapToGrid w:val="0"/>
        <w:spacing w:afterLines="50"/>
        <w:ind w:firstLineChars="0" w:firstLine="0"/>
        <w:rPr>
          <w:b/>
          <w:bCs/>
          <w:i/>
          <w:iCs/>
          <w:lang w:val="en-US" w:eastAsia="zh-CN"/>
        </w:rPr>
      </w:pPr>
      <w:r>
        <w:rPr>
          <w:rFonts w:hint="eastAsia"/>
          <w:b/>
          <w:bCs/>
          <w:i/>
          <w:iCs/>
          <w:lang w:val="en-US" w:eastAsia="zh-CN"/>
        </w:rPr>
        <w:t>Proposal 1: The problem of timing alignment should be considered for coexistence between NR V2X and LTE V2X.</w:t>
      </w:r>
    </w:p>
    <w:p w14:paraId="1371C475" w14:textId="77777777" w:rsidR="005142BC" w:rsidRDefault="00900A54">
      <w:pPr>
        <w:pStyle w:val="3"/>
        <w:snapToGrid w:val="0"/>
        <w:spacing w:afterLines="50"/>
        <w:ind w:firstLineChars="0" w:firstLine="0"/>
        <w:rPr>
          <w:b/>
          <w:bCs/>
          <w:i/>
          <w:iCs/>
          <w:lang w:val="en-US" w:eastAsia="zh-CN"/>
        </w:rPr>
      </w:pPr>
      <w:r>
        <w:rPr>
          <w:rFonts w:hint="eastAsia"/>
          <w:b/>
          <w:bCs/>
          <w:i/>
          <w:iCs/>
          <w:lang w:val="en-US" w:eastAsia="zh-CN"/>
        </w:rPr>
        <w:t>Observation 3: TDM of transmission resources between LTE V2X and NR V2X can work to avoid the impact between the two technologies.</w:t>
      </w:r>
    </w:p>
    <w:p w14:paraId="0E8A7E85" w14:textId="77777777" w:rsidR="005142BC" w:rsidRDefault="00900A54">
      <w:pPr>
        <w:pStyle w:val="3"/>
        <w:snapToGrid w:val="0"/>
        <w:spacing w:afterLines="50"/>
        <w:ind w:firstLineChars="0" w:firstLine="0"/>
        <w:rPr>
          <w:b/>
          <w:bCs/>
          <w:i/>
          <w:iCs/>
          <w:lang w:val="en-US" w:eastAsia="zh-CN"/>
        </w:rPr>
      </w:pPr>
      <w:r>
        <w:rPr>
          <w:rFonts w:hint="eastAsia"/>
          <w:b/>
          <w:bCs/>
          <w:i/>
          <w:iCs/>
          <w:szCs w:val="22"/>
          <w:lang w:val="en-US" w:eastAsia="zh-CN"/>
        </w:rPr>
        <w:t>Observation 4: Coordinated procedures between different sidelink technologies or between UE and network need to be considered to assist resource allocation/selection for FDM solution.</w:t>
      </w:r>
    </w:p>
    <w:p w14:paraId="722468C3" w14:textId="1F0BC27D" w:rsidR="005142BC" w:rsidRDefault="00900A54">
      <w:pPr>
        <w:snapToGrid w:val="0"/>
        <w:spacing w:afterLines="50"/>
        <w:rPr>
          <w:b/>
          <w:bCs/>
          <w:i/>
          <w:iCs/>
          <w:szCs w:val="22"/>
          <w:lang w:val="en-US" w:eastAsia="zh-CN"/>
        </w:rPr>
      </w:pPr>
      <w:r>
        <w:rPr>
          <w:rFonts w:hint="eastAsia"/>
          <w:b/>
          <w:bCs/>
          <w:i/>
          <w:iCs/>
          <w:szCs w:val="22"/>
          <w:lang w:val="en-US" w:eastAsia="zh-CN"/>
        </w:rPr>
        <w:t xml:space="preserve">Proposal 2: For </w:t>
      </w:r>
      <w:r w:rsidR="00746115">
        <w:rPr>
          <w:b/>
          <w:bCs/>
          <w:i/>
          <w:iCs/>
          <w:szCs w:val="22"/>
          <w:lang w:val="en-US" w:eastAsia="zh-CN"/>
        </w:rPr>
        <w:t xml:space="preserve">the </w:t>
      </w:r>
      <w:r>
        <w:rPr>
          <w:rFonts w:hint="eastAsia"/>
          <w:b/>
          <w:bCs/>
          <w:i/>
          <w:iCs/>
          <w:szCs w:val="22"/>
          <w:lang w:val="en-US" w:eastAsia="zh-CN"/>
        </w:rPr>
        <w:t>FDM solution, mechanisms of report and resource allocation/selection need to be studied further.</w:t>
      </w:r>
    </w:p>
    <w:p w14:paraId="79D406BC" w14:textId="77777777" w:rsidR="005142BC" w:rsidRDefault="00900A54">
      <w:pPr>
        <w:pStyle w:val="3"/>
        <w:snapToGrid w:val="0"/>
        <w:spacing w:afterLines="50"/>
        <w:ind w:firstLineChars="0" w:firstLine="0"/>
        <w:rPr>
          <w:rFonts w:eastAsia="SimSun"/>
          <w:b/>
          <w:bCs/>
          <w:i/>
          <w:iCs/>
          <w:szCs w:val="22"/>
          <w:lang w:val="en-US" w:eastAsia="zh-CN"/>
        </w:rPr>
      </w:pPr>
      <w:r>
        <w:rPr>
          <w:rFonts w:hint="eastAsia"/>
          <w:b/>
          <w:bCs/>
          <w:i/>
          <w:iCs/>
          <w:szCs w:val="22"/>
          <w:lang w:val="en-US" w:eastAsia="zh-CN"/>
        </w:rPr>
        <w:t>Proposal 3: From the viewpoint of simplicity, TDM solution should be considered as baseline to address the issues of in-device coexistence between the two sidelink technologies.</w:t>
      </w:r>
    </w:p>
    <w:p w14:paraId="56134AEA" w14:textId="77777777" w:rsidR="005142BC" w:rsidRDefault="00900A54">
      <w:pPr>
        <w:pStyle w:val="3"/>
        <w:snapToGrid w:val="0"/>
        <w:spacing w:afterLines="50"/>
        <w:ind w:firstLineChars="0" w:firstLine="0"/>
        <w:rPr>
          <w:rFonts w:eastAsia="SimSun"/>
          <w:b/>
          <w:bCs/>
          <w:i/>
          <w:iCs/>
          <w:szCs w:val="22"/>
          <w:lang w:val="en-US" w:eastAsia="zh-CN"/>
        </w:rPr>
      </w:pPr>
      <w:r>
        <w:rPr>
          <w:rFonts w:hint="eastAsia"/>
          <w:b/>
          <w:bCs/>
          <w:i/>
          <w:iCs/>
          <w:lang w:val="en-US" w:eastAsia="zh-CN"/>
        </w:rPr>
        <w:t>Proposal 4: Power management for services in two channels for the ‘not co-channel’ in-device should be further studied for consideration.</w:t>
      </w:r>
    </w:p>
    <w:p w14:paraId="3D2DCD26" w14:textId="77777777" w:rsidR="005142BC" w:rsidRDefault="00900A54">
      <w:pPr>
        <w:pStyle w:val="Heading1"/>
        <w:spacing w:before="180"/>
        <w:rPr>
          <w:sz w:val="32"/>
          <w:szCs w:val="32"/>
          <w:lang w:val="en-US"/>
        </w:rPr>
      </w:pPr>
      <w:r>
        <w:rPr>
          <w:rFonts w:hint="eastAsia"/>
          <w:sz w:val="32"/>
          <w:szCs w:val="32"/>
          <w:lang w:val="en-US"/>
        </w:rPr>
        <w:t>Reference</w:t>
      </w:r>
    </w:p>
    <w:p w14:paraId="2123F1FD" w14:textId="77777777" w:rsidR="005142BC" w:rsidRDefault="00900A54">
      <w:pPr>
        <w:widowControl w:val="0"/>
        <w:numPr>
          <w:ilvl w:val="0"/>
          <w:numId w:val="8"/>
        </w:numPr>
        <w:overflowPunct/>
        <w:autoSpaceDE/>
        <w:autoSpaceDN/>
        <w:adjustRightInd/>
        <w:snapToGrid w:val="0"/>
        <w:spacing w:after="0"/>
        <w:textAlignment w:val="auto"/>
      </w:pPr>
      <w:r>
        <w:rPr>
          <w:rFonts w:hint="eastAsia"/>
          <w:lang w:val="en-US" w:eastAsia="ja-JP"/>
        </w:rPr>
        <w:t>Chairman's Notes RAN1 94</w:t>
      </w:r>
      <w:r>
        <w:rPr>
          <w:rFonts w:hint="eastAsia"/>
          <w:lang w:val="en-US" w:eastAsia="zh-CN"/>
        </w:rPr>
        <w:t xml:space="preserve">, </w:t>
      </w:r>
      <w:r>
        <w:rPr>
          <w:rFonts w:hint="eastAsia"/>
          <w:lang w:val="en-US" w:eastAsia="ja-JP"/>
        </w:rPr>
        <w:t>Gothenburg, Sweden, August 20th – 24th, 2018</w:t>
      </w:r>
      <w:r>
        <w:rPr>
          <w:rFonts w:hint="eastAsia"/>
          <w:lang w:val="en-US" w:eastAsia="zh-CN"/>
        </w:rPr>
        <w:t>.</w:t>
      </w:r>
    </w:p>
    <w:p w14:paraId="195261E4" w14:textId="26560B95" w:rsidR="008A3B4E" w:rsidRDefault="008A3B4E">
      <w:pPr>
        <w:widowControl w:val="0"/>
        <w:numPr>
          <w:ilvl w:val="0"/>
          <w:numId w:val="8"/>
        </w:numPr>
        <w:overflowPunct/>
        <w:autoSpaceDE/>
        <w:autoSpaceDN/>
        <w:adjustRightInd/>
        <w:snapToGrid w:val="0"/>
        <w:spacing w:after="0"/>
        <w:textAlignment w:val="auto"/>
      </w:pPr>
      <w:r w:rsidRPr="00693ED9">
        <w:t>RP-182111, “Revised SID: Study on NR V2X,” 3GPP RAN#81, Gold Coast, Australia, September 2018.</w:t>
      </w:r>
    </w:p>
    <w:p w14:paraId="602804A6" w14:textId="77777777" w:rsidR="005142BC" w:rsidRDefault="005142BC">
      <w:pPr>
        <w:widowControl w:val="0"/>
        <w:overflowPunct/>
        <w:autoSpaceDE/>
        <w:autoSpaceDN/>
        <w:adjustRightInd/>
        <w:snapToGrid w:val="0"/>
        <w:spacing w:after="0"/>
        <w:textAlignment w:val="auto"/>
      </w:pPr>
    </w:p>
    <w:p w14:paraId="7A473855" w14:textId="77777777" w:rsidR="005142BC" w:rsidRDefault="005142BC">
      <w:pPr>
        <w:widowControl w:val="0"/>
        <w:overflowPunct/>
        <w:autoSpaceDE/>
        <w:autoSpaceDN/>
        <w:adjustRightInd/>
        <w:snapToGrid w:val="0"/>
        <w:spacing w:after="0"/>
        <w:textAlignment w:val="auto"/>
        <w:rPr>
          <w:lang w:eastAsia="ja-JP"/>
        </w:rPr>
      </w:pPr>
    </w:p>
    <w:sectPr w:rsidR="005142BC">
      <w:footerReference w:type="default" r:id="rId9"/>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054E63" w14:textId="77777777" w:rsidR="009A39CA" w:rsidRDefault="009A39CA">
      <w:pPr>
        <w:spacing w:after="0" w:line="240" w:lineRule="auto"/>
      </w:pPr>
      <w:r>
        <w:separator/>
      </w:r>
    </w:p>
  </w:endnote>
  <w:endnote w:type="continuationSeparator" w:id="0">
    <w:p w14:paraId="6E232D7A" w14:textId="77777777" w:rsidR="009A39CA" w:rsidRDefault="009A39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egoe Print"/>
    <w:panose1 w:val="02010609060101010101"/>
    <w:charset w:val="00"/>
    <w:family w:val="auto"/>
    <w:pitch w:val="default"/>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0AEB2" w14:textId="77777777" w:rsidR="005142BC" w:rsidRDefault="00900A54">
    <w:pPr>
      <w:pStyle w:val="Footer"/>
      <w:jc w:val="center"/>
    </w:pPr>
    <w:r>
      <w:fldChar w:fldCharType="begin"/>
    </w:r>
    <w:r>
      <w:instrText xml:space="preserve"> PAGE   \* MERGEFORMAT </w:instrText>
    </w:r>
    <w:r>
      <w:fldChar w:fldCharType="separate"/>
    </w:r>
    <w:r>
      <w:rPr>
        <w:lang w:val="en-US" w:eastAsia="zh-CN"/>
      </w:rPr>
      <w:t>1</w:t>
    </w:r>
    <w:r>
      <w:rPr>
        <w:lang w:val="en-US" w:eastAsia="zh-CN"/>
      </w:rPr>
      <w:fldChar w:fldCharType="end"/>
    </w:r>
  </w:p>
  <w:p w14:paraId="4FAAE484" w14:textId="77777777" w:rsidR="005142BC" w:rsidRDefault="005142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091F9C" w14:textId="77777777" w:rsidR="009A39CA" w:rsidRDefault="009A39CA">
      <w:pPr>
        <w:spacing w:after="0" w:line="240" w:lineRule="auto"/>
      </w:pPr>
      <w:r>
        <w:separator/>
      </w:r>
    </w:p>
  </w:footnote>
  <w:footnote w:type="continuationSeparator" w:id="0">
    <w:p w14:paraId="30CD0079" w14:textId="77777777" w:rsidR="009A39CA" w:rsidRDefault="009A39C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21BBC"/>
    <w:multiLevelType w:val="multilevel"/>
    <w:tmpl w:val="08821BB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FB2018A"/>
    <w:multiLevelType w:val="multilevel"/>
    <w:tmpl w:val="2FB201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EB40789"/>
    <w:multiLevelType w:val="multilevel"/>
    <w:tmpl w:val="4EB4078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5A7ACF33"/>
    <w:multiLevelType w:val="multilevel"/>
    <w:tmpl w:val="5A7ACF33"/>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5" w15:restartNumberingAfterBreak="0">
    <w:nsid w:val="5B6BEC41"/>
    <w:multiLevelType w:val="singleLevel"/>
    <w:tmpl w:val="5B6BEC41"/>
    <w:lvl w:ilvl="0">
      <w:start w:val="1"/>
      <w:numFmt w:val="bullet"/>
      <w:lvlText w:val=""/>
      <w:lvlJc w:val="left"/>
      <w:pPr>
        <w:ind w:left="360" w:hanging="360"/>
      </w:pPr>
      <w:rPr>
        <w:rFonts w:ascii="Symbol" w:hAnsi="Symbol" w:hint="default"/>
      </w:rPr>
    </w:lvl>
  </w:abstractNum>
  <w:abstractNum w:abstractNumId="6" w15:restartNumberingAfterBreak="0">
    <w:nsid w:val="66A22CAB"/>
    <w:multiLevelType w:val="multilevel"/>
    <w:tmpl w:val="66A22CA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6C6B05E8"/>
    <w:multiLevelType w:val="multilevel"/>
    <w:tmpl w:val="6C6B05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7"/>
  </w:num>
  <w:num w:numId="4">
    <w:abstractNumId w:val="5"/>
  </w:num>
  <w:num w:numId="5">
    <w:abstractNumId w:val="6"/>
  </w:num>
  <w:num w:numId="6">
    <w:abstractNumId w:val="3"/>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538"/>
    <w:rsid w:val="000001AD"/>
    <w:rsid w:val="0000024E"/>
    <w:rsid w:val="00000673"/>
    <w:rsid w:val="000006A4"/>
    <w:rsid w:val="00000F10"/>
    <w:rsid w:val="0000143A"/>
    <w:rsid w:val="00001B6B"/>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2EF"/>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BBE"/>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3C0"/>
    <w:rsid w:val="000364F6"/>
    <w:rsid w:val="00036A3C"/>
    <w:rsid w:val="000377C6"/>
    <w:rsid w:val="00037B36"/>
    <w:rsid w:val="00037B68"/>
    <w:rsid w:val="00037BE2"/>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CA9"/>
    <w:rsid w:val="00052D64"/>
    <w:rsid w:val="00052EDF"/>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B9D"/>
    <w:rsid w:val="0007105C"/>
    <w:rsid w:val="00071853"/>
    <w:rsid w:val="00071B2E"/>
    <w:rsid w:val="000720E1"/>
    <w:rsid w:val="0007239C"/>
    <w:rsid w:val="0007294B"/>
    <w:rsid w:val="00072D70"/>
    <w:rsid w:val="00073220"/>
    <w:rsid w:val="00073B77"/>
    <w:rsid w:val="00074C4E"/>
    <w:rsid w:val="00074C9A"/>
    <w:rsid w:val="00075737"/>
    <w:rsid w:val="00075A19"/>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D07"/>
    <w:rsid w:val="000A0532"/>
    <w:rsid w:val="000A096B"/>
    <w:rsid w:val="000A0D74"/>
    <w:rsid w:val="000A0EAE"/>
    <w:rsid w:val="000A12D2"/>
    <w:rsid w:val="000A1673"/>
    <w:rsid w:val="000A1A14"/>
    <w:rsid w:val="000A2423"/>
    <w:rsid w:val="000A3280"/>
    <w:rsid w:val="000A3E2A"/>
    <w:rsid w:val="000A3F47"/>
    <w:rsid w:val="000A3FB0"/>
    <w:rsid w:val="000A4702"/>
    <w:rsid w:val="000A4EF4"/>
    <w:rsid w:val="000A5AFC"/>
    <w:rsid w:val="000A5B65"/>
    <w:rsid w:val="000A67AC"/>
    <w:rsid w:val="000A689B"/>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BC"/>
    <w:rsid w:val="000C0B6F"/>
    <w:rsid w:val="000C0CE9"/>
    <w:rsid w:val="000C0D60"/>
    <w:rsid w:val="000C169F"/>
    <w:rsid w:val="000C2030"/>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C7A55"/>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0E"/>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280"/>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542"/>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3115"/>
    <w:rsid w:val="001533B9"/>
    <w:rsid w:val="001536E6"/>
    <w:rsid w:val="0015385D"/>
    <w:rsid w:val="001538CD"/>
    <w:rsid w:val="00153999"/>
    <w:rsid w:val="0015454F"/>
    <w:rsid w:val="00154637"/>
    <w:rsid w:val="001546A9"/>
    <w:rsid w:val="0015491C"/>
    <w:rsid w:val="00154ACD"/>
    <w:rsid w:val="0015572D"/>
    <w:rsid w:val="00155878"/>
    <w:rsid w:val="00155A38"/>
    <w:rsid w:val="00155C03"/>
    <w:rsid w:val="00155CF6"/>
    <w:rsid w:val="00156253"/>
    <w:rsid w:val="00156478"/>
    <w:rsid w:val="00156EDD"/>
    <w:rsid w:val="001575EC"/>
    <w:rsid w:val="00157820"/>
    <w:rsid w:val="00157868"/>
    <w:rsid w:val="0016001A"/>
    <w:rsid w:val="001601CD"/>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54"/>
    <w:rsid w:val="00170E88"/>
    <w:rsid w:val="001710CE"/>
    <w:rsid w:val="00171201"/>
    <w:rsid w:val="00171744"/>
    <w:rsid w:val="00171AA3"/>
    <w:rsid w:val="001724D2"/>
    <w:rsid w:val="001729DF"/>
    <w:rsid w:val="00172B79"/>
    <w:rsid w:val="00172DF5"/>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D13"/>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1034"/>
    <w:rsid w:val="001C1358"/>
    <w:rsid w:val="001C16B7"/>
    <w:rsid w:val="001C16F9"/>
    <w:rsid w:val="001C216A"/>
    <w:rsid w:val="001C2C4F"/>
    <w:rsid w:val="001C2C96"/>
    <w:rsid w:val="001C3341"/>
    <w:rsid w:val="001C3DEB"/>
    <w:rsid w:val="001C4A08"/>
    <w:rsid w:val="001C4E18"/>
    <w:rsid w:val="001C534E"/>
    <w:rsid w:val="001C54C3"/>
    <w:rsid w:val="001C5EBF"/>
    <w:rsid w:val="001C5F0E"/>
    <w:rsid w:val="001C60EE"/>
    <w:rsid w:val="001C7D93"/>
    <w:rsid w:val="001D000E"/>
    <w:rsid w:val="001D03FE"/>
    <w:rsid w:val="001D0526"/>
    <w:rsid w:val="001D05D2"/>
    <w:rsid w:val="001D0B22"/>
    <w:rsid w:val="001D1453"/>
    <w:rsid w:val="001D18C1"/>
    <w:rsid w:val="001D27E9"/>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C79"/>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155"/>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84F"/>
    <w:rsid w:val="002009EA"/>
    <w:rsid w:val="00200BC4"/>
    <w:rsid w:val="00200FD2"/>
    <w:rsid w:val="00201D2E"/>
    <w:rsid w:val="00201E5A"/>
    <w:rsid w:val="00201F9D"/>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3EF0"/>
    <w:rsid w:val="0021403B"/>
    <w:rsid w:val="0021433F"/>
    <w:rsid w:val="002149AC"/>
    <w:rsid w:val="00214DF0"/>
    <w:rsid w:val="00215769"/>
    <w:rsid w:val="002157B1"/>
    <w:rsid w:val="00215991"/>
    <w:rsid w:val="00215B0C"/>
    <w:rsid w:val="00215FA8"/>
    <w:rsid w:val="00216122"/>
    <w:rsid w:val="00216724"/>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2131"/>
    <w:rsid w:val="00222A2A"/>
    <w:rsid w:val="00222AD2"/>
    <w:rsid w:val="00223D51"/>
    <w:rsid w:val="002245FE"/>
    <w:rsid w:val="0022487C"/>
    <w:rsid w:val="00225098"/>
    <w:rsid w:val="00225E97"/>
    <w:rsid w:val="00226383"/>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B30"/>
    <w:rsid w:val="00255C1C"/>
    <w:rsid w:val="00255E50"/>
    <w:rsid w:val="002565B1"/>
    <w:rsid w:val="002567B9"/>
    <w:rsid w:val="00257C4C"/>
    <w:rsid w:val="00257ECA"/>
    <w:rsid w:val="00257FE2"/>
    <w:rsid w:val="00260738"/>
    <w:rsid w:val="00260837"/>
    <w:rsid w:val="0026098D"/>
    <w:rsid w:val="00260E04"/>
    <w:rsid w:val="00260FEF"/>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8F1"/>
    <w:rsid w:val="002B7A18"/>
    <w:rsid w:val="002B7EE7"/>
    <w:rsid w:val="002C0981"/>
    <w:rsid w:val="002C0A82"/>
    <w:rsid w:val="002C10AE"/>
    <w:rsid w:val="002C1355"/>
    <w:rsid w:val="002C1581"/>
    <w:rsid w:val="002C1600"/>
    <w:rsid w:val="002C1F74"/>
    <w:rsid w:val="002C2127"/>
    <w:rsid w:val="002C285A"/>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423B"/>
    <w:rsid w:val="002D4552"/>
    <w:rsid w:val="002D5000"/>
    <w:rsid w:val="002D5203"/>
    <w:rsid w:val="002D5247"/>
    <w:rsid w:val="002D560C"/>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0EB"/>
    <w:rsid w:val="002E72A8"/>
    <w:rsid w:val="002E75BB"/>
    <w:rsid w:val="002E77C7"/>
    <w:rsid w:val="002E7F7E"/>
    <w:rsid w:val="002F0063"/>
    <w:rsid w:val="002F00F2"/>
    <w:rsid w:val="002F0CD8"/>
    <w:rsid w:val="002F12D5"/>
    <w:rsid w:val="002F15F1"/>
    <w:rsid w:val="002F187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118"/>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2D1"/>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3EC2"/>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AA7"/>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44A"/>
    <w:rsid w:val="003524E5"/>
    <w:rsid w:val="00352624"/>
    <w:rsid w:val="00352D9A"/>
    <w:rsid w:val="00352DAE"/>
    <w:rsid w:val="0035301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78A"/>
    <w:rsid w:val="003A781B"/>
    <w:rsid w:val="003A7B88"/>
    <w:rsid w:val="003B0315"/>
    <w:rsid w:val="003B038A"/>
    <w:rsid w:val="003B1657"/>
    <w:rsid w:val="003B1672"/>
    <w:rsid w:val="003B1863"/>
    <w:rsid w:val="003B1BC7"/>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000"/>
    <w:rsid w:val="003C3249"/>
    <w:rsid w:val="003C366C"/>
    <w:rsid w:val="003C3BB8"/>
    <w:rsid w:val="003C3E74"/>
    <w:rsid w:val="003C409D"/>
    <w:rsid w:val="003C4B0E"/>
    <w:rsid w:val="003C4EAC"/>
    <w:rsid w:val="003C4FC1"/>
    <w:rsid w:val="003C53B4"/>
    <w:rsid w:val="003C5406"/>
    <w:rsid w:val="003C5B5C"/>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214"/>
    <w:rsid w:val="003E2F3A"/>
    <w:rsid w:val="003E3F88"/>
    <w:rsid w:val="003E40DB"/>
    <w:rsid w:val="003E429E"/>
    <w:rsid w:val="003E46F9"/>
    <w:rsid w:val="003E4952"/>
    <w:rsid w:val="003E4967"/>
    <w:rsid w:val="003E4D91"/>
    <w:rsid w:val="003E51F7"/>
    <w:rsid w:val="003E53ED"/>
    <w:rsid w:val="003E5585"/>
    <w:rsid w:val="003E6061"/>
    <w:rsid w:val="003E656E"/>
    <w:rsid w:val="003E666F"/>
    <w:rsid w:val="003E6833"/>
    <w:rsid w:val="003E6A9B"/>
    <w:rsid w:val="003E6DC4"/>
    <w:rsid w:val="003E7110"/>
    <w:rsid w:val="003F03D9"/>
    <w:rsid w:val="003F0786"/>
    <w:rsid w:val="003F0ADE"/>
    <w:rsid w:val="003F0DFE"/>
    <w:rsid w:val="003F0EF9"/>
    <w:rsid w:val="003F0F57"/>
    <w:rsid w:val="003F0F8E"/>
    <w:rsid w:val="003F1108"/>
    <w:rsid w:val="003F1228"/>
    <w:rsid w:val="003F1C5F"/>
    <w:rsid w:val="003F1D0D"/>
    <w:rsid w:val="003F2A44"/>
    <w:rsid w:val="003F2B54"/>
    <w:rsid w:val="003F2B6B"/>
    <w:rsid w:val="003F2C37"/>
    <w:rsid w:val="003F2CD0"/>
    <w:rsid w:val="003F2EEB"/>
    <w:rsid w:val="003F3233"/>
    <w:rsid w:val="003F33D7"/>
    <w:rsid w:val="003F349C"/>
    <w:rsid w:val="003F3E4E"/>
    <w:rsid w:val="003F40E2"/>
    <w:rsid w:val="003F46EA"/>
    <w:rsid w:val="003F4DAC"/>
    <w:rsid w:val="003F4EC1"/>
    <w:rsid w:val="003F5819"/>
    <w:rsid w:val="003F5BC7"/>
    <w:rsid w:val="003F5C2B"/>
    <w:rsid w:val="003F5E22"/>
    <w:rsid w:val="003F662C"/>
    <w:rsid w:val="003F6F44"/>
    <w:rsid w:val="003F752D"/>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913"/>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3E8"/>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27EA2"/>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45"/>
    <w:rsid w:val="004674C2"/>
    <w:rsid w:val="00467504"/>
    <w:rsid w:val="004677B5"/>
    <w:rsid w:val="00467B9D"/>
    <w:rsid w:val="00467E69"/>
    <w:rsid w:val="00470772"/>
    <w:rsid w:val="00470941"/>
    <w:rsid w:val="00470A46"/>
    <w:rsid w:val="00470E3A"/>
    <w:rsid w:val="00470EF0"/>
    <w:rsid w:val="004715B3"/>
    <w:rsid w:val="0047173F"/>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858"/>
    <w:rsid w:val="00475D92"/>
    <w:rsid w:val="00476138"/>
    <w:rsid w:val="0047617D"/>
    <w:rsid w:val="0047618D"/>
    <w:rsid w:val="00476947"/>
    <w:rsid w:val="00477B1F"/>
    <w:rsid w:val="00477B3D"/>
    <w:rsid w:val="00477C8D"/>
    <w:rsid w:val="00477D88"/>
    <w:rsid w:val="00477E8F"/>
    <w:rsid w:val="00477E95"/>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0962"/>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4B3"/>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C4A"/>
    <w:rsid w:val="004C5132"/>
    <w:rsid w:val="004C53EC"/>
    <w:rsid w:val="004C5748"/>
    <w:rsid w:val="004C5796"/>
    <w:rsid w:val="004C595B"/>
    <w:rsid w:val="004C5977"/>
    <w:rsid w:val="004C5B74"/>
    <w:rsid w:val="004C6540"/>
    <w:rsid w:val="004C65B7"/>
    <w:rsid w:val="004C6B45"/>
    <w:rsid w:val="004C6D87"/>
    <w:rsid w:val="004C79F4"/>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2BC"/>
    <w:rsid w:val="00514313"/>
    <w:rsid w:val="0051447D"/>
    <w:rsid w:val="00514561"/>
    <w:rsid w:val="00515856"/>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3BC8"/>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403"/>
    <w:rsid w:val="00535777"/>
    <w:rsid w:val="0053583F"/>
    <w:rsid w:val="005358BC"/>
    <w:rsid w:val="005362A0"/>
    <w:rsid w:val="005372D7"/>
    <w:rsid w:val="0053745B"/>
    <w:rsid w:val="005374AB"/>
    <w:rsid w:val="00537E5F"/>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48FD"/>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523A"/>
    <w:rsid w:val="005552B7"/>
    <w:rsid w:val="00555DBC"/>
    <w:rsid w:val="00556357"/>
    <w:rsid w:val="00556861"/>
    <w:rsid w:val="0055698D"/>
    <w:rsid w:val="00556AAE"/>
    <w:rsid w:val="00556AC1"/>
    <w:rsid w:val="00556B44"/>
    <w:rsid w:val="00556DF1"/>
    <w:rsid w:val="0055709D"/>
    <w:rsid w:val="005571DB"/>
    <w:rsid w:val="00557429"/>
    <w:rsid w:val="00557837"/>
    <w:rsid w:val="005600DA"/>
    <w:rsid w:val="005603D4"/>
    <w:rsid w:val="005608B0"/>
    <w:rsid w:val="0056092C"/>
    <w:rsid w:val="0056095A"/>
    <w:rsid w:val="00560E1C"/>
    <w:rsid w:val="0056135F"/>
    <w:rsid w:val="00561478"/>
    <w:rsid w:val="0056184C"/>
    <w:rsid w:val="00561885"/>
    <w:rsid w:val="005620BD"/>
    <w:rsid w:val="00563178"/>
    <w:rsid w:val="00563D91"/>
    <w:rsid w:val="00564C8F"/>
    <w:rsid w:val="00565B2E"/>
    <w:rsid w:val="005660F4"/>
    <w:rsid w:val="00566302"/>
    <w:rsid w:val="005666AC"/>
    <w:rsid w:val="005669E2"/>
    <w:rsid w:val="00566C1B"/>
    <w:rsid w:val="00566E6D"/>
    <w:rsid w:val="00566EB5"/>
    <w:rsid w:val="00566EF6"/>
    <w:rsid w:val="00566FFC"/>
    <w:rsid w:val="00567F47"/>
    <w:rsid w:val="00570210"/>
    <w:rsid w:val="00570360"/>
    <w:rsid w:val="005704BD"/>
    <w:rsid w:val="00570737"/>
    <w:rsid w:val="00570E32"/>
    <w:rsid w:val="00571025"/>
    <w:rsid w:val="005717B7"/>
    <w:rsid w:val="00571967"/>
    <w:rsid w:val="00572E46"/>
    <w:rsid w:val="00573023"/>
    <w:rsid w:val="00573041"/>
    <w:rsid w:val="00573964"/>
    <w:rsid w:val="00573FC4"/>
    <w:rsid w:val="0057467B"/>
    <w:rsid w:val="00574F88"/>
    <w:rsid w:val="0057540D"/>
    <w:rsid w:val="00575992"/>
    <w:rsid w:val="00575A7F"/>
    <w:rsid w:val="00575AFF"/>
    <w:rsid w:val="00575CE5"/>
    <w:rsid w:val="00575D68"/>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7E8"/>
    <w:rsid w:val="00587871"/>
    <w:rsid w:val="00587B7C"/>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A9A"/>
    <w:rsid w:val="005A0E9B"/>
    <w:rsid w:val="005A1007"/>
    <w:rsid w:val="005A105A"/>
    <w:rsid w:val="005A1323"/>
    <w:rsid w:val="005A160B"/>
    <w:rsid w:val="005A16B8"/>
    <w:rsid w:val="005A216E"/>
    <w:rsid w:val="005A266C"/>
    <w:rsid w:val="005A2798"/>
    <w:rsid w:val="005A2BF2"/>
    <w:rsid w:val="005A2F73"/>
    <w:rsid w:val="005A3DBF"/>
    <w:rsid w:val="005A3DD6"/>
    <w:rsid w:val="005A4143"/>
    <w:rsid w:val="005A49CC"/>
    <w:rsid w:val="005A4CD0"/>
    <w:rsid w:val="005A541F"/>
    <w:rsid w:val="005A5619"/>
    <w:rsid w:val="005A5894"/>
    <w:rsid w:val="005A58BC"/>
    <w:rsid w:val="005A5C74"/>
    <w:rsid w:val="005A5D51"/>
    <w:rsid w:val="005A632C"/>
    <w:rsid w:val="005A6703"/>
    <w:rsid w:val="005A6DF4"/>
    <w:rsid w:val="005A78A9"/>
    <w:rsid w:val="005A7EFB"/>
    <w:rsid w:val="005B0486"/>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9B0"/>
    <w:rsid w:val="005B4CF3"/>
    <w:rsid w:val="005B4EE9"/>
    <w:rsid w:val="005B52AF"/>
    <w:rsid w:val="005B54E4"/>
    <w:rsid w:val="005B5683"/>
    <w:rsid w:val="005B5FC6"/>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867"/>
    <w:rsid w:val="005C715E"/>
    <w:rsid w:val="005C747B"/>
    <w:rsid w:val="005C7482"/>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382"/>
    <w:rsid w:val="005D4472"/>
    <w:rsid w:val="005D4557"/>
    <w:rsid w:val="005D4D58"/>
    <w:rsid w:val="005D4DE3"/>
    <w:rsid w:val="005D5874"/>
    <w:rsid w:val="005D5912"/>
    <w:rsid w:val="005D59F0"/>
    <w:rsid w:val="005D5AE2"/>
    <w:rsid w:val="005D5B6A"/>
    <w:rsid w:val="005D5D4C"/>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88E"/>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1268"/>
    <w:rsid w:val="005F1860"/>
    <w:rsid w:val="005F1869"/>
    <w:rsid w:val="005F1BE9"/>
    <w:rsid w:val="005F2ACF"/>
    <w:rsid w:val="005F3072"/>
    <w:rsid w:val="005F3A5C"/>
    <w:rsid w:val="005F3D0A"/>
    <w:rsid w:val="005F40F4"/>
    <w:rsid w:val="005F4C7C"/>
    <w:rsid w:val="005F5311"/>
    <w:rsid w:val="005F544C"/>
    <w:rsid w:val="005F5612"/>
    <w:rsid w:val="005F57F3"/>
    <w:rsid w:val="005F6122"/>
    <w:rsid w:val="005F6149"/>
    <w:rsid w:val="005F6C49"/>
    <w:rsid w:val="005F6DC4"/>
    <w:rsid w:val="005F7399"/>
    <w:rsid w:val="005F74E3"/>
    <w:rsid w:val="006001FB"/>
    <w:rsid w:val="006002EE"/>
    <w:rsid w:val="0060064C"/>
    <w:rsid w:val="00600B01"/>
    <w:rsid w:val="00600BCB"/>
    <w:rsid w:val="00600C73"/>
    <w:rsid w:val="0060138B"/>
    <w:rsid w:val="00601825"/>
    <w:rsid w:val="00602912"/>
    <w:rsid w:val="00602CF0"/>
    <w:rsid w:val="00603186"/>
    <w:rsid w:val="006033A2"/>
    <w:rsid w:val="006035C4"/>
    <w:rsid w:val="00604562"/>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7E5"/>
    <w:rsid w:val="00611C9E"/>
    <w:rsid w:val="00611D14"/>
    <w:rsid w:val="00611EB5"/>
    <w:rsid w:val="0061246B"/>
    <w:rsid w:val="0061273D"/>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BBC"/>
    <w:rsid w:val="006250CB"/>
    <w:rsid w:val="006251C3"/>
    <w:rsid w:val="00625279"/>
    <w:rsid w:val="006254BC"/>
    <w:rsid w:val="006255E6"/>
    <w:rsid w:val="00625DD2"/>
    <w:rsid w:val="00625E64"/>
    <w:rsid w:val="006260B6"/>
    <w:rsid w:val="00626123"/>
    <w:rsid w:val="00626403"/>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114E"/>
    <w:rsid w:val="00631411"/>
    <w:rsid w:val="0063289D"/>
    <w:rsid w:val="00632B40"/>
    <w:rsid w:val="00632D3F"/>
    <w:rsid w:val="00633512"/>
    <w:rsid w:val="0063355D"/>
    <w:rsid w:val="006336C0"/>
    <w:rsid w:val="0063391D"/>
    <w:rsid w:val="00633B4C"/>
    <w:rsid w:val="006343FA"/>
    <w:rsid w:val="00634707"/>
    <w:rsid w:val="0063490C"/>
    <w:rsid w:val="00634955"/>
    <w:rsid w:val="00634ADB"/>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06F"/>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737D"/>
    <w:rsid w:val="00657776"/>
    <w:rsid w:val="0065785E"/>
    <w:rsid w:val="00660717"/>
    <w:rsid w:val="006609A8"/>
    <w:rsid w:val="00660B71"/>
    <w:rsid w:val="0066126C"/>
    <w:rsid w:val="00661323"/>
    <w:rsid w:val="00661957"/>
    <w:rsid w:val="006619D9"/>
    <w:rsid w:val="00661E4D"/>
    <w:rsid w:val="0066204B"/>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CC"/>
    <w:rsid w:val="00666054"/>
    <w:rsid w:val="0066677C"/>
    <w:rsid w:val="00666BE0"/>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64A"/>
    <w:rsid w:val="006757AA"/>
    <w:rsid w:val="00675967"/>
    <w:rsid w:val="006759A7"/>
    <w:rsid w:val="00675C93"/>
    <w:rsid w:val="00676031"/>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3089"/>
    <w:rsid w:val="00683AFC"/>
    <w:rsid w:val="00683DC6"/>
    <w:rsid w:val="006841DD"/>
    <w:rsid w:val="006848D9"/>
    <w:rsid w:val="00684EE2"/>
    <w:rsid w:val="0068556F"/>
    <w:rsid w:val="006856A5"/>
    <w:rsid w:val="00685877"/>
    <w:rsid w:val="00686205"/>
    <w:rsid w:val="00686782"/>
    <w:rsid w:val="00686B85"/>
    <w:rsid w:val="00686C9C"/>
    <w:rsid w:val="00686CE2"/>
    <w:rsid w:val="00686E19"/>
    <w:rsid w:val="00687031"/>
    <w:rsid w:val="00687349"/>
    <w:rsid w:val="00687658"/>
    <w:rsid w:val="0068767E"/>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3DC4"/>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5F4"/>
    <w:rsid w:val="006B09F8"/>
    <w:rsid w:val="006B0C44"/>
    <w:rsid w:val="006B0C70"/>
    <w:rsid w:val="006B111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571"/>
    <w:rsid w:val="006E6780"/>
    <w:rsid w:val="006E6DF7"/>
    <w:rsid w:val="006E77E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2C0"/>
    <w:rsid w:val="00730366"/>
    <w:rsid w:val="0073088E"/>
    <w:rsid w:val="00730951"/>
    <w:rsid w:val="00730BA2"/>
    <w:rsid w:val="007310A7"/>
    <w:rsid w:val="00731186"/>
    <w:rsid w:val="00731EBC"/>
    <w:rsid w:val="007323D1"/>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5BB"/>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115"/>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150E"/>
    <w:rsid w:val="0076157C"/>
    <w:rsid w:val="0076169F"/>
    <w:rsid w:val="007616CF"/>
    <w:rsid w:val="007619D4"/>
    <w:rsid w:val="00761B2B"/>
    <w:rsid w:val="00761BF8"/>
    <w:rsid w:val="00761E2B"/>
    <w:rsid w:val="00761F89"/>
    <w:rsid w:val="007620A3"/>
    <w:rsid w:val="00762B4B"/>
    <w:rsid w:val="00762E0C"/>
    <w:rsid w:val="007636A3"/>
    <w:rsid w:val="00763800"/>
    <w:rsid w:val="007639CF"/>
    <w:rsid w:val="00763BCC"/>
    <w:rsid w:val="00763BCD"/>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565"/>
    <w:rsid w:val="00790AD0"/>
    <w:rsid w:val="00790F8D"/>
    <w:rsid w:val="007913BF"/>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FF3"/>
    <w:rsid w:val="007C706B"/>
    <w:rsid w:val="007C7213"/>
    <w:rsid w:val="007C7496"/>
    <w:rsid w:val="007C7E0A"/>
    <w:rsid w:val="007C7F53"/>
    <w:rsid w:val="007C7FA9"/>
    <w:rsid w:val="007D0046"/>
    <w:rsid w:val="007D00D8"/>
    <w:rsid w:val="007D02CE"/>
    <w:rsid w:val="007D0430"/>
    <w:rsid w:val="007D0E88"/>
    <w:rsid w:val="007D145A"/>
    <w:rsid w:val="007D19D6"/>
    <w:rsid w:val="007D20E9"/>
    <w:rsid w:val="007D2401"/>
    <w:rsid w:val="007D2BC1"/>
    <w:rsid w:val="007D2E24"/>
    <w:rsid w:val="007D3B0E"/>
    <w:rsid w:val="007D3BC4"/>
    <w:rsid w:val="007D3BEC"/>
    <w:rsid w:val="007D3D95"/>
    <w:rsid w:val="007D4127"/>
    <w:rsid w:val="007D430F"/>
    <w:rsid w:val="007D5462"/>
    <w:rsid w:val="007D6EA2"/>
    <w:rsid w:val="007D70B9"/>
    <w:rsid w:val="007D7241"/>
    <w:rsid w:val="007D73D0"/>
    <w:rsid w:val="007D75CB"/>
    <w:rsid w:val="007D7BB3"/>
    <w:rsid w:val="007E06DC"/>
    <w:rsid w:val="007E09E3"/>
    <w:rsid w:val="007E0AF1"/>
    <w:rsid w:val="007E19FB"/>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2E34"/>
    <w:rsid w:val="007F319F"/>
    <w:rsid w:val="007F3362"/>
    <w:rsid w:val="007F3469"/>
    <w:rsid w:val="007F3B5A"/>
    <w:rsid w:val="007F3ED6"/>
    <w:rsid w:val="007F40B5"/>
    <w:rsid w:val="007F4448"/>
    <w:rsid w:val="007F4657"/>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33F"/>
    <w:rsid w:val="00802A1C"/>
    <w:rsid w:val="00802AF0"/>
    <w:rsid w:val="00802B51"/>
    <w:rsid w:val="00802BD3"/>
    <w:rsid w:val="00802C0E"/>
    <w:rsid w:val="00802CB9"/>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2598"/>
    <w:rsid w:val="00832782"/>
    <w:rsid w:val="00832EAD"/>
    <w:rsid w:val="0083310C"/>
    <w:rsid w:val="00833F69"/>
    <w:rsid w:val="008340A8"/>
    <w:rsid w:val="0083410C"/>
    <w:rsid w:val="00834487"/>
    <w:rsid w:val="008347DB"/>
    <w:rsid w:val="0083494F"/>
    <w:rsid w:val="00834D64"/>
    <w:rsid w:val="00835C3D"/>
    <w:rsid w:val="0083643B"/>
    <w:rsid w:val="008364CC"/>
    <w:rsid w:val="008367C8"/>
    <w:rsid w:val="00836FA7"/>
    <w:rsid w:val="008373FE"/>
    <w:rsid w:val="008376A4"/>
    <w:rsid w:val="008376E0"/>
    <w:rsid w:val="00837986"/>
    <w:rsid w:val="008379DF"/>
    <w:rsid w:val="00837ACA"/>
    <w:rsid w:val="00837F1B"/>
    <w:rsid w:val="0084020C"/>
    <w:rsid w:val="008406F5"/>
    <w:rsid w:val="00841030"/>
    <w:rsid w:val="008412E1"/>
    <w:rsid w:val="00841456"/>
    <w:rsid w:val="008420D1"/>
    <w:rsid w:val="0084221A"/>
    <w:rsid w:val="008422DC"/>
    <w:rsid w:val="008425E0"/>
    <w:rsid w:val="008425F8"/>
    <w:rsid w:val="00842DBF"/>
    <w:rsid w:val="00842EE0"/>
    <w:rsid w:val="0084373F"/>
    <w:rsid w:val="00843F8E"/>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711"/>
    <w:rsid w:val="0085187F"/>
    <w:rsid w:val="00851E4E"/>
    <w:rsid w:val="0085206D"/>
    <w:rsid w:val="00852803"/>
    <w:rsid w:val="00852CEB"/>
    <w:rsid w:val="00852E0F"/>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99B"/>
    <w:rsid w:val="00887AF3"/>
    <w:rsid w:val="00887DC8"/>
    <w:rsid w:val="00887DDA"/>
    <w:rsid w:val="0089004C"/>
    <w:rsid w:val="0089009A"/>
    <w:rsid w:val="008900F1"/>
    <w:rsid w:val="0089046F"/>
    <w:rsid w:val="00890766"/>
    <w:rsid w:val="008907E5"/>
    <w:rsid w:val="0089174B"/>
    <w:rsid w:val="00891D15"/>
    <w:rsid w:val="008921BB"/>
    <w:rsid w:val="00892FA7"/>
    <w:rsid w:val="008930F8"/>
    <w:rsid w:val="00893213"/>
    <w:rsid w:val="00893374"/>
    <w:rsid w:val="00893992"/>
    <w:rsid w:val="00893DE4"/>
    <w:rsid w:val="00893E14"/>
    <w:rsid w:val="00893F94"/>
    <w:rsid w:val="008945B1"/>
    <w:rsid w:val="0089483C"/>
    <w:rsid w:val="00894999"/>
    <w:rsid w:val="00894A25"/>
    <w:rsid w:val="00894DD7"/>
    <w:rsid w:val="00895188"/>
    <w:rsid w:val="00895858"/>
    <w:rsid w:val="00895E63"/>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4E"/>
    <w:rsid w:val="008A3B82"/>
    <w:rsid w:val="008A3C4B"/>
    <w:rsid w:val="008A3EC5"/>
    <w:rsid w:val="008A3EE1"/>
    <w:rsid w:val="008A3F93"/>
    <w:rsid w:val="008A4408"/>
    <w:rsid w:val="008A4566"/>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1F89"/>
    <w:rsid w:val="008B259A"/>
    <w:rsid w:val="008B2BE8"/>
    <w:rsid w:val="008B32AB"/>
    <w:rsid w:val="008B33EA"/>
    <w:rsid w:val="008B3B28"/>
    <w:rsid w:val="008B3B53"/>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CA7"/>
    <w:rsid w:val="008C6CDE"/>
    <w:rsid w:val="008C79F0"/>
    <w:rsid w:val="008C7FAE"/>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F7"/>
    <w:rsid w:val="008F297E"/>
    <w:rsid w:val="008F3738"/>
    <w:rsid w:val="008F48BB"/>
    <w:rsid w:val="008F4ABF"/>
    <w:rsid w:val="008F4EF9"/>
    <w:rsid w:val="008F5BF4"/>
    <w:rsid w:val="008F5CA1"/>
    <w:rsid w:val="008F5E92"/>
    <w:rsid w:val="008F6504"/>
    <w:rsid w:val="008F67F6"/>
    <w:rsid w:val="008F6EFC"/>
    <w:rsid w:val="008F7386"/>
    <w:rsid w:val="008F7B05"/>
    <w:rsid w:val="00900A54"/>
    <w:rsid w:val="00900B91"/>
    <w:rsid w:val="00900BAE"/>
    <w:rsid w:val="00900CF1"/>
    <w:rsid w:val="00900E82"/>
    <w:rsid w:val="00901269"/>
    <w:rsid w:val="00901273"/>
    <w:rsid w:val="0090134D"/>
    <w:rsid w:val="009013BF"/>
    <w:rsid w:val="009014C3"/>
    <w:rsid w:val="00901640"/>
    <w:rsid w:val="009017ED"/>
    <w:rsid w:val="0090215B"/>
    <w:rsid w:val="009022AD"/>
    <w:rsid w:val="0090296B"/>
    <w:rsid w:val="00902ECB"/>
    <w:rsid w:val="009032E9"/>
    <w:rsid w:val="00903B06"/>
    <w:rsid w:val="00903BE9"/>
    <w:rsid w:val="00903C3D"/>
    <w:rsid w:val="00904611"/>
    <w:rsid w:val="00904720"/>
    <w:rsid w:val="00904814"/>
    <w:rsid w:val="009048D7"/>
    <w:rsid w:val="0090599B"/>
    <w:rsid w:val="00905EF3"/>
    <w:rsid w:val="00905FC6"/>
    <w:rsid w:val="00905FC9"/>
    <w:rsid w:val="00905FD6"/>
    <w:rsid w:val="00906565"/>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616"/>
    <w:rsid w:val="00921BD2"/>
    <w:rsid w:val="00921C05"/>
    <w:rsid w:val="00921DFE"/>
    <w:rsid w:val="00922742"/>
    <w:rsid w:val="00922A68"/>
    <w:rsid w:val="00922A7B"/>
    <w:rsid w:val="00922DFF"/>
    <w:rsid w:val="00922F63"/>
    <w:rsid w:val="00923376"/>
    <w:rsid w:val="0092343D"/>
    <w:rsid w:val="009237CE"/>
    <w:rsid w:val="00923962"/>
    <w:rsid w:val="00923CDC"/>
    <w:rsid w:val="00923EDA"/>
    <w:rsid w:val="00924086"/>
    <w:rsid w:val="0092442D"/>
    <w:rsid w:val="00924705"/>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1A5"/>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0F84"/>
    <w:rsid w:val="009715BD"/>
    <w:rsid w:val="0097165B"/>
    <w:rsid w:val="00971FED"/>
    <w:rsid w:val="00972055"/>
    <w:rsid w:val="00972540"/>
    <w:rsid w:val="00972FA7"/>
    <w:rsid w:val="009732E5"/>
    <w:rsid w:val="00974429"/>
    <w:rsid w:val="00975E21"/>
    <w:rsid w:val="00976058"/>
    <w:rsid w:val="00976D19"/>
    <w:rsid w:val="00976FF4"/>
    <w:rsid w:val="009770B4"/>
    <w:rsid w:val="0097717A"/>
    <w:rsid w:val="009779FF"/>
    <w:rsid w:val="00977F29"/>
    <w:rsid w:val="0098080D"/>
    <w:rsid w:val="0098087C"/>
    <w:rsid w:val="009808F3"/>
    <w:rsid w:val="0098091A"/>
    <w:rsid w:val="009810CF"/>
    <w:rsid w:val="009811BB"/>
    <w:rsid w:val="009812A9"/>
    <w:rsid w:val="009815BB"/>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1EC"/>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9CA"/>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B0"/>
    <w:rsid w:val="009B03B8"/>
    <w:rsid w:val="009B0C14"/>
    <w:rsid w:val="009B0D96"/>
    <w:rsid w:val="009B0EEA"/>
    <w:rsid w:val="009B17A4"/>
    <w:rsid w:val="009B204B"/>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567"/>
    <w:rsid w:val="009C2764"/>
    <w:rsid w:val="009C27ED"/>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66E"/>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EA0"/>
    <w:rsid w:val="00A27253"/>
    <w:rsid w:val="00A3026F"/>
    <w:rsid w:val="00A303C8"/>
    <w:rsid w:val="00A30809"/>
    <w:rsid w:val="00A30DEE"/>
    <w:rsid w:val="00A30F84"/>
    <w:rsid w:val="00A31263"/>
    <w:rsid w:val="00A31363"/>
    <w:rsid w:val="00A31F51"/>
    <w:rsid w:val="00A32478"/>
    <w:rsid w:val="00A328DC"/>
    <w:rsid w:val="00A32E50"/>
    <w:rsid w:val="00A32EC6"/>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6ECC"/>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777"/>
    <w:rsid w:val="00AF1360"/>
    <w:rsid w:val="00AF1958"/>
    <w:rsid w:val="00AF1DDD"/>
    <w:rsid w:val="00AF2FD8"/>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B00058"/>
    <w:rsid w:val="00B0009D"/>
    <w:rsid w:val="00B00886"/>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30C0C"/>
    <w:rsid w:val="00B30E6D"/>
    <w:rsid w:val="00B315CD"/>
    <w:rsid w:val="00B31CE6"/>
    <w:rsid w:val="00B320CA"/>
    <w:rsid w:val="00B32585"/>
    <w:rsid w:val="00B32A71"/>
    <w:rsid w:val="00B32ADD"/>
    <w:rsid w:val="00B32B12"/>
    <w:rsid w:val="00B32CBB"/>
    <w:rsid w:val="00B32E87"/>
    <w:rsid w:val="00B331B1"/>
    <w:rsid w:val="00B338A5"/>
    <w:rsid w:val="00B33BF8"/>
    <w:rsid w:val="00B34483"/>
    <w:rsid w:val="00B346AB"/>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4DC"/>
    <w:rsid w:val="00B727F9"/>
    <w:rsid w:val="00B729E7"/>
    <w:rsid w:val="00B72A6A"/>
    <w:rsid w:val="00B73095"/>
    <w:rsid w:val="00B73365"/>
    <w:rsid w:val="00B733E5"/>
    <w:rsid w:val="00B7428D"/>
    <w:rsid w:val="00B7470D"/>
    <w:rsid w:val="00B7499C"/>
    <w:rsid w:val="00B74A97"/>
    <w:rsid w:val="00B74B02"/>
    <w:rsid w:val="00B74CE1"/>
    <w:rsid w:val="00B754F4"/>
    <w:rsid w:val="00B7558C"/>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9B"/>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50DB"/>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40ED"/>
    <w:rsid w:val="00BC48F2"/>
    <w:rsid w:val="00BC5818"/>
    <w:rsid w:val="00BC5A0A"/>
    <w:rsid w:val="00BC5C1E"/>
    <w:rsid w:val="00BC6142"/>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4C5E"/>
    <w:rsid w:val="00BE51BA"/>
    <w:rsid w:val="00BE5397"/>
    <w:rsid w:val="00BE564F"/>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3F0"/>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0CDF"/>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DD0"/>
    <w:rsid w:val="00C35253"/>
    <w:rsid w:val="00C357A7"/>
    <w:rsid w:val="00C357E8"/>
    <w:rsid w:val="00C35F0C"/>
    <w:rsid w:val="00C3607F"/>
    <w:rsid w:val="00C36128"/>
    <w:rsid w:val="00C369BA"/>
    <w:rsid w:val="00C36A14"/>
    <w:rsid w:val="00C36A68"/>
    <w:rsid w:val="00C36E68"/>
    <w:rsid w:val="00C370F7"/>
    <w:rsid w:val="00C376E0"/>
    <w:rsid w:val="00C3796C"/>
    <w:rsid w:val="00C37C97"/>
    <w:rsid w:val="00C37FD2"/>
    <w:rsid w:val="00C37FF1"/>
    <w:rsid w:val="00C40133"/>
    <w:rsid w:val="00C401AB"/>
    <w:rsid w:val="00C40222"/>
    <w:rsid w:val="00C4083B"/>
    <w:rsid w:val="00C408B0"/>
    <w:rsid w:val="00C40D5F"/>
    <w:rsid w:val="00C41068"/>
    <w:rsid w:val="00C4191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1F23"/>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44F"/>
    <w:rsid w:val="00C73849"/>
    <w:rsid w:val="00C73B0D"/>
    <w:rsid w:val="00C744AE"/>
    <w:rsid w:val="00C74740"/>
    <w:rsid w:val="00C750D9"/>
    <w:rsid w:val="00C7525B"/>
    <w:rsid w:val="00C76480"/>
    <w:rsid w:val="00C779FF"/>
    <w:rsid w:val="00C77F17"/>
    <w:rsid w:val="00C77F3A"/>
    <w:rsid w:val="00C809BF"/>
    <w:rsid w:val="00C80D2E"/>
    <w:rsid w:val="00C80F9D"/>
    <w:rsid w:val="00C817BA"/>
    <w:rsid w:val="00C82172"/>
    <w:rsid w:val="00C82212"/>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A01CE"/>
    <w:rsid w:val="00CA05E0"/>
    <w:rsid w:val="00CA0C12"/>
    <w:rsid w:val="00CA0CA7"/>
    <w:rsid w:val="00CA1035"/>
    <w:rsid w:val="00CA1201"/>
    <w:rsid w:val="00CA18C9"/>
    <w:rsid w:val="00CA1974"/>
    <w:rsid w:val="00CA1A0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6C24"/>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58F1"/>
    <w:rsid w:val="00CC5906"/>
    <w:rsid w:val="00CC5EA8"/>
    <w:rsid w:val="00CC656A"/>
    <w:rsid w:val="00CC752B"/>
    <w:rsid w:val="00CC7997"/>
    <w:rsid w:val="00CD0058"/>
    <w:rsid w:val="00CD017A"/>
    <w:rsid w:val="00CD0247"/>
    <w:rsid w:val="00CD0365"/>
    <w:rsid w:val="00CD04B7"/>
    <w:rsid w:val="00CD07CB"/>
    <w:rsid w:val="00CD1692"/>
    <w:rsid w:val="00CD1D57"/>
    <w:rsid w:val="00CD1F22"/>
    <w:rsid w:val="00CD2642"/>
    <w:rsid w:val="00CD28A6"/>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086"/>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CE6"/>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2DD"/>
    <w:rsid w:val="00CF53EC"/>
    <w:rsid w:val="00CF5D01"/>
    <w:rsid w:val="00CF6112"/>
    <w:rsid w:val="00CF6271"/>
    <w:rsid w:val="00CF6358"/>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3E67"/>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50"/>
    <w:rsid w:val="00D51C96"/>
    <w:rsid w:val="00D51FC0"/>
    <w:rsid w:val="00D52107"/>
    <w:rsid w:val="00D523A5"/>
    <w:rsid w:val="00D52418"/>
    <w:rsid w:val="00D52AC4"/>
    <w:rsid w:val="00D52E09"/>
    <w:rsid w:val="00D52E6A"/>
    <w:rsid w:val="00D53227"/>
    <w:rsid w:val="00D53344"/>
    <w:rsid w:val="00D53A82"/>
    <w:rsid w:val="00D5494E"/>
    <w:rsid w:val="00D549FD"/>
    <w:rsid w:val="00D54CA5"/>
    <w:rsid w:val="00D551C3"/>
    <w:rsid w:val="00D5536A"/>
    <w:rsid w:val="00D558AB"/>
    <w:rsid w:val="00D55DCA"/>
    <w:rsid w:val="00D55EC9"/>
    <w:rsid w:val="00D56C0C"/>
    <w:rsid w:val="00D570E7"/>
    <w:rsid w:val="00D5776F"/>
    <w:rsid w:val="00D57D08"/>
    <w:rsid w:val="00D57E83"/>
    <w:rsid w:val="00D6062E"/>
    <w:rsid w:val="00D61057"/>
    <w:rsid w:val="00D61061"/>
    <w:rsid w:val="00D61293"/>
    <w:rsid w:val="00D623F0"/>
    <w:rsid w:val="00D625DC"/>
    <w:rsid w:val="00D62819"/>
    <w:rsid w:val="00D62CEC"/>
    <w:rsid w:val="00D63052"/>
    <w:rsid w:val="00D6322E"/>
    <w:rsid w:val="00D6323D"/>
    <w:rsid w:val="00D63417"/>
    <w:rsid w:val="00D6346D"/>
    <w:rsid w:val="00D634D2"/>
    <w:rsid w:val="00D63CDB"/>
    <w:rsid w:val="00D63E3F"/>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5C65"/>
    <w:rsid w:val="00D76B3D"/>
    <w:rsid w:val="00D76DCC"/>
    <w:rsid w:val="00D76FB9"/>
    <w:rsid w:val="00D77131"/>
    <w:rsid w:val="00D779CC"/>
    <w:rsid w:val="00D77AB3"/>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F86"/>
    <w:rsid w:val="00D831AC"/>
    <w:rsid w:val="00D83439"/>
    <w:rsid w:val="00D84824"/>
    <w:rsid w:val="00D85785"/>
    <w:rsid w:val="00D860F2"/>
    <w:rsid w:val="00D866F5"/>
    <w:rsid w:val="00D86EE6"/>
    <w:rsid w:val="00D87674"/>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347B"/>
    <w:rsid w:val="00DB370F"/>
    <w:rsid w:val="00DB3854"/>
    <w:rsid w:val="00DB3EF2"/>
    <w:rsid w:val="00DB408A"/>
    <w:rsid w:val="00DB4518"/>
    <w:rsid w:val="00DB4B5C"/>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A41"/>
    <w:rsid w:val="00DD6B64"/>
    <w:rsid w:val="00DD6BDF"/>
    <w:rsid w:val="00DD6C65"/>
    <w:rsid w:val="00DD74F2"/>
    <w:rsid w:val="00DD750C"/>
    <w:rsid w:val="00DD76B2"/>
    <w:rsid w:val="00DD7B79"/>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C6"/>
    <w:rsid w:val="00E35E0E"/>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313"/>
    <w:rsid w:val="00E50A41"/>
    <w:rsid w:val="00E50D71"/>
    <w:rsid w:val="00E50F2F"/>
    <w:rsid w:val="00E510F5"/>
    <w:rsid w:val="00E51446"/>
    <w:rsid w:val="00E51883"/>
    <w:rsid w:val="00E52566"/>
    <w:rsid w:val="00E5384C"/>
    <w:rsid w:val="00E53B23"/>
    <w:rsid w:val="00E53C6A"/>
    <w:rsid w:val="00E53F85"/>
    <w:rsid w:val="00E5447D"/>
    <w:rsid w:val="00E54480"/>
    <w:rsid w:val="00E54C28"/>
    <w:rsid w:val="00E5531F"/>
    <w:rsid w:val="00E554BD"/>
    <w:rsid w:val="00E561F8"/>
    <w:rsid w:val="00E5633A"/>
    <w:rsid w:val="00E5635A"/>
    <w:rsid w:val="00E56430"/>
    <w:rsid w:val="00E568F4"/>
    <w:rsid w:val="00E56A46"/>
    <w:rsid w:val="00E56B02"/>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178"/>
    <w:rsid w:val="00E8130D"/>
    <w:rsid w:val="00E815C1"/>
    <w:rsid w:val="00E81E9C"/>
    <w:rsid w:val="00E82117"/>
    <w:rsid w:val="00E827E5"/>
    <w:rsid w:val="00E82C33"/>
    <w:rsid w:val="00E82DFF"/>
    <w:rsid w:val="00E82EDF"/>
    <w:rsid w:val="00E82FED"/>
    <w:rsid w:val="00E830CD"/>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42B"/>
    <w:rsid w:val="00EA04D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EE4"/>
    <w:rsid w:val="00EA5F3F"/>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295"/>
    <w:rsid w:val="00ED17C4"/>
    <w:rsid w:val="00ED1D76"/>
    <w:rsid w:val="00ED1D9E"/>
    <w:rsid w:val="00ED1F5B"/>
    <w:rsid w:val="00ED215B"/>
    <w:rsid w:val="00ED2329"/>
    <w:rsid w:val="00ED2770"/>
    <w:rsid w:val="00ED2D27"/>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1B6"/>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AA4"/>
    <w:rsid w:val="00F24F16"/>
    <w:rsid w:val="00F2547B"/>
    <w:rsid w:val="00F262C4"/>
    <w:rsid w:val="00F2680D"/>
    <w:rsid w:val="00F26E00"/>
    <w:rsid w:val="00F271FB"/>
    <w:rsid w:val="00F3008C"/>
    <w:rsid w:val="00F303EC"/>
    <w:rsid w:val="00F30547"/>
    <w:rsid w:val="00F312BC"/>
    <w:rsid w:val="00F31AF2"/>
    <w:rsid w:val="00F31BDC"/>
    <w:rsid w:val="00F32066"/>
    <w:rsid w:val="00F3256C"/>
    <w:rsid w:val="00F32F34"/>
    <w:rsid w:val="00F3312F"/>
    <w:rsid w:val="00F336B7"/>
    <w:rsid w:val="00F33869"/>
    <w:rsid w:val="00F33B5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90E"/>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AB8"/>
    <w:rsid w:val="00FB2F82"/>
    <w:rsid w:val="00FB2F9D"/>
    <w:rsid w:val="00FB323A"/>
    <w:rsid w:val="00FB389E"/>
    <w:rsid w:val="00FB3DCF"/>
    <w:rsid w:val="00FB3E44"/>
    <w:rsid w:val="00FB3EDB"/>
    <w:rsid w:val="00FB438B"/>
    <w:rsid w:val="00FB56E9"/>
    <w:rsid w:val="00FB6093"/>
    <w:rsid w:val="00FB63D3"/>
    <w:rsid w:val="00FB6795"/>
    <w:rsid w:val="00FB6E93"/>
    <w:rsid w:val="00FB714D"/>
    <w:rsid w:val="00FB715B"/>
    <w:rsid w:val="00FB744A"/>
    <w:rsid w:val="00FB7A36"/>
    <w:rsid w:val="00FC030F"/>
    <w:rsid w:val="00FC0559"/>
    <w:rsid w:val="00FC0816"/>
    <w:rsid w:val="00FC0B2E"/>
    <w:rsid w:val="00FC0B63"/>
    <w:rsid w:val="00FC0E9E"/>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971"/>
    <w:rsid w:val="00FD29BC"/>
    <w:rsid w:val="00FD2DDF"/>
    <w:rsid w:val="00FD33A1"/>
    <w:rsid w:val="00FD34E8"/>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22E"/>
    <w:rsid w:val="00FF4700"/>
    <w:rsid w:val="00FF4A6F"/>
    <w:rsid w:val="00FF4AA9"/>
    <w:rsid w:val="00FF4E67"/>
    <w:rsid w:val="00FF5667"/>
    <w:rsid w:val="00FF56C6"/>
    <w:rsid w:val="00FF5EFD"/>
    <w:rsid w:val="00FF5FEE"/>
    <w:rsid w:val="00FF63DF"/>
    <w:rsid w:val="00FF695E"/>
    <w:rsid w:val="00FF69C9"/>
    <w:rsid w:val="00FF70B0"/>
    <w:rsid w:val="00FF7A87"/>
    <w:rsid w:val="00FF7AA7"/>
    <w:rsid w:val="00FF7F25"/>
    <w:rsid w:val="01207030"/>
    <w:rsid w:val="01BB2BB1"/>
    <w:rsid w:val="01F43F46"/>
    <w:rsid w:val="02174545"/>
    <w:rsid w:val="02B244B0"/>
    <w:rsid w:val="02E01B84"/>
    <w:rsid w:val="02EE3B10"/>
    <w:rsid w:val="036A1647"/>
    <w:rsid w:val="042919B8"/>
    <w:rsid w:val="04571575"/>
    <w:rsid w:val="04CA4F87"/>
    <w:rsid w:val="057275F8"/>
    <w:rsid w:val="05891C7E"/>
    <w:rsid w:val="05C36270"/>
    <w:rsid w:val="05CD4AED"/>
    <w:rsid w:val="063B3F75"/>
    <w:rsid w:val="0681071A"/>
    <w:rsid w:val="07143F2C"/>
    <w:rsid w:val="073B656D"/>
    <w:rsid w:val="07C67563"/>
    <w:rsid w:val="08040F92"/>
    <w:rsid w:val="086906C2"/>
    <w:rsid w:val="08C43024"/>
    <w:rsid w:val="08F230C4"/>
    <w:rsid w:val="09412E5A"/>
    <w:rsid w:val="09632052"/>
    <w:rsid w:val="0A5A0CCD"/>
    <w:rsid w:val="0AD914CE"/>
    <w:rsid w:val="0BF427CE"/>
    <w:rsid w:val="0BFD0200"/>
    <w:rsid w:val="0C051601"/>
    <w:rsid w:val="0C9A29ED"/>
    <w:rsid w:val="0CCC39BF"/>
    <w:rsid w:val="0CE15718"/>
    <w:rsid w:val="0D9D1E33"/>
    <w:rsid w:val="0DAA4EA7"/>
    <w:rsid w:val="0DFB40B9"/>
    <w:rsid w:val="0E0E14B1"/>
    <w:rsid w:val="0ED5166B"/>
    <w:rsid w:val="0ED96A2A"/>
    <w:rsid w:val="0EE123F2"/>
    <w:rsid w:val="0F0209B3"/>
    <w:rsid w:val="0F4D38D0"/>
    <w:rsid w:val="0F6D0490"/>
    <w:rsid w:val="0FAC55DF"/>
    <w:rsid w:val="0FE353A5"/>
    <w:rsid w:val="101653FE"/>
    <w:rsid w:val="105D13C1"/>
    <w:rsid w:val="10A71AF2"/>
    <w:rsid w:val="112D614C"/>
    <w:rsid w:val="114244D6"/>
    <w:rsid w:val="11835746"/>
    <w:rsid w:val="11FE0F20"/>
    <w:rsid w:val="12605F0E"/>
    <w:rsid w:val="127C7D15"/>
    <w:rsid w:val="12C627E8"/>
    <w:rsid w:val="12E73FE3"/>
    <w:rsid w:val="1347637A"/>
    <w:rsid w:val="136A5E89"/>
    <w:rsid w:val="139004AD"/>
    <w:rsid w:val="143B097E"/>
    <w:rsid w:val="148A4F0F"/>
    <w:rsid w:val="15393677"/>
    <w:rsid w:val="15CB01DE"/>
    <w:rsid w:val="15F75498"/>
    <w:rsid w:val="16545FD8"/>
    <w:rsid w:val="16B813FF"/>
    <w:rsid w:val="16F06DE0"/>
    <w:rsid w:val="17336823"/>
    <w:rsid w:val="17E11441"/>
    <w:rsid w:val="18E129D5"/>
    <w:rsid w:val="18FB4414"/>
    <w:rsid w:val="194B7CE4"/>
    <w:rsid w:val="196E2CFD"/>
    <w:rsid w:val="197079C1"/>
    <w:rsid w:val="1985549C"/>
    <w:rsid w:val="198C1605"/>
    <w:rsid w:val="19C74909"/>
    <w:rsid w:val="1A115BF5"/>
    <w:rsid w:val="1A73258B"/>
    <w:rsid w:val="1AA26902"/>
    <w:rsid w:val="1AC1475C"/>
    <w:rsid w:val="1B0914DE"/>
    <w:rsid w:val="1B9D1E8B"/>
    <w:rsid w:val="1BB34FD4"/>
    <w:rsid w:val="1C215368"/>
    <w:rsid w:val="1C496310"/>
    <w:rsid w:val="1CA34696"/>
    <w:rsid w:val="1D055ED1"/>
    <w:rsid w:val="1D8748C6"/>
    <w:rsid w:val="1E893F0E"/>
    <w:rsid w:val="1E8E2195"/>
    <w:rsid w:val="1E9D1B77"/>
    <w:rsid w:val="1EC73D14"/>
    <w:rsid w:val="1F6071CE"/>
    <w:rsid w:val="1F893965"/>
    <w:rsid w:val="1F9675F9"/>
    <w:rsid w:val="20577216"/>
    <w:rsid w:val="22872C28"/>
    <w:rsid w:val="229A6E29"/>
    <w:rsid w:val="22A60A2C"/>
    <w:rsid w:val="22F9544B"/>
    <w:rsid w:val="23247D99"/>
    <w:rsid w:val="23E00497"/>
    <w:rsid w:val="240F0148"/>
    <w:rsid w:val="245D4347"/>
    <w:rsid w:val="247513E0"/>
    <w:rsid w:val="24952FEC"/>
    <w:rsid w:val="24DF4FCA"/>
    <w:rsid w:val="258F435F"/>
    <w:rsid w:val="27F45854"/>
    <w:rsid w:val="292B6242"/>
    <w:rsid w:val="294A6FAD"/>
    <w:rsid w:val="2ABE10C4"/>
    <w:rsid w:val="2B7E4F3E"/>
    <w:rsid w:val="2C830DC1"/>
    <w:rsid w:val="2CFB4D20"/>
    <w:rsid w:val="2D085FA8"/>
    <w:rsid w:val="2D4D45B1"/>
    <w:rsid w:val="2DC72DD4"/>
    <w:rsid w:val="2E48670E"/>
    <w:rsid w:val="2E744F10"/>
    <w:rsid w:val="2F2A5E40"/>
    <w:rsid w:val="2F341996"/>
    <w:rsid w:val="2FF377D6"/>
    <w:rsid w:val="2FF567EE"/>
    <w:rsid w:val="30B42CCD"/>
    <w:rsid w:val="30D02902"/>
    <w:rsid w:val="30DC35E0"/>
    <w:rsid w:val="31810FAA"/>
    <w:rsid w:val="326D411F"/>
    <w:rsid w:val="32F10988"/>
    <w:rsid w:val="32FD3DFD"/>
    <w:rsid w:val="337373BE"/>
    <w:rsid w:val="33D134CA"/>
    <w:rsid w:val="34592AD1"/>
    <w:rsid w:val="350B7FA1"/>
    <w:rsid w:val="3555455A"/>
    <w:rsid w:val="35877CD1"/>
    <w:rsid w:val="35E53F1E"/>
    <w:rsid w:val="37CE4DBF"/>
    <w:rsid w:val="38B47822"/>
    <w:rsid w:val="38E03743"/>
    <w:rsid w:val="390A7B96"/>
    <w:rsid w:val="39315B32"/>
    <w:rsid w:val="393508A3"/>
    <w:rsid w:val="39867D75"/>
    <w:rsid w:val="3A081EFD"/>
    <w:rsid w:val="3A2071EB"/>
    <w:rsid w:val="3AB80156"/>
    <w:rsid w:val="3B763536"/>
    <w:rsid w:val="3BA56BAC"/>
    <w:rsid w:val="3BC95299"/>
    <w:rsid w:val="3C896FA0"/>
    <w:rsid w:val="3D1817FF"/>
    <w:rsid w:val="3D2B16BC"/>
    <w:rsid w:val="3D5C5142"/>
    <w:rsid w:val="3DA2376E"/>
    <w:rsid w:val="3DC13DCB"/>
    <w:rsid w:val="3DEF2DDB"/>
    <w:rsid w:val="3E081A76"/>
    <w:rsid w:val="3E33399B"/>
    <w:rsid w:val="3E546E21"/>
    <w:rsid w:val="3E8A3201"/>
    <w:rsid w:val="40057331"/>
    <w:rsid w:val="406560BF"/>
    <w:rsid w:val="406F7959"/>
    <w:rsid w:val="41122711"/>
    <w:rsid w:val="415F3DA7"/>
    <w:rsid w:val="42CD7E1B"/>
    <w:rsid w:val="4340284B"/>
    <w:rsid w:val="447C48DA"/>
    <w:rsid w:val="45DE4B26"/>
    <w:rsid w:val="460F214B"/>
    <w:rsid w:val="46B90D4C"/>
    <w:rsid w:val="46CC3E8D"/>
    <w:rsid w:val="47BF1122"/>
    <w:rsid w:val="47DF718C"/>
    <w:rsid w:val="483E1E79"/>
    <w:rsid w:val="48896C5F"/>
    <w:rsid w:val="492615EE"/>
    <w:rsid w:val="4A222EB7"/>
    <w:rsid w:val="4A736166"/>
    <w:rsid w:val="4AC95A07"/>
    <w:rsid w:val="4ACB55ED"/>
    <w:rsid w:val="4B2E6E30"/>
    <w:rsid w:val="4B776CA8"/>
    <w:rsid w:val="4C263B4B"/>
    <w:rsid w:val="4CB21069"/>
    <w:rsid w:val="4D0C79BF"/>
    <w:rsid w:val="4D507EDA"/>
    <w:rsid w:val="4D6D5A9B"/>
    <w:rsid w:val="4DBA77BE"/>
    <w:rsid w:val="4E4C22E8"/>
    <w:rsid w:val="4EE920EC"/>
    <w:rsid w:val="4FC37AD4"/>
    <w:rsid w:val="502A2517"/>
    <w:rsid w:val="50D00699"/>
    <w:rsid w:val="50DA2806"/>
    <w:rsid w:val="510938CE"/>
    <w:rsid w:val="510C52F1"/>
    <w:rsid w:val="51411CDE"/>
    <w:rsid w:val="514F236B"/>
    <w:rsid w:val="518B1F62"/>
    <w:rsid w:val="51CC1A55"/>
    <w:rsid w:val="51F531C2"/>
    <w:rsid w:val="524545ED"/>
    <w:rsid w:val="53154013"/>
    <w:rsid w:val="54174029"/>
    <w:rsid w:val="5421087D"/>
    <w:rsid w:val="54333B29"/>
    <w:rsid w:val="54556245"/>
    <w:rsid w:val="54D4029E"/>
    <w:rsid w:val="552157FF"/>
    <w:rsid w:val="561F2012"/>
    <w:rsid w:val="56C41A30"/>
    <w:rsid w:val="577C5FC5"/>
    <w:rsid w:val="57960862"/>
    <w:rsid w:val="59137428"/>
    <w:rsid w:val="591D7955"/>
    <w:rsid w:val="59D61EA1"/>
    <w:rsid w:val="5B0E41AE"/>
    <w:rsid w:val="5B315295"/>
    <w:rsid w:val="5B425D21"/>
    <w:rsid w:val="5B5E49F5"/>
    <w:rsid w:val="5B937D57"/>
    <w:rsid w:val="5BBF584D"/>
    <w:rsid w:val="5BD14E31"/>
    <w:rsid w:val="5BD400B4"/>
    <w:rsid w:val="5E095FD6"/>
    <w:rsid w:val="5E1621C7"/>
    <w:rsid w:val="5E254B6A"/>
    <w:rsid w:val="5E2D7F4E"/>
    <w:rsid w:val="5E5D258D"/>
    <w:rsid w:val="5E9922EF"/>
    <w:rsid w:val="5EEA1043"/>
    <w:rsid w:val="5F636374"/>
    <w:rsid w:val="5FBB6F20"/>
    <w:rsid w:val="60142AE5"/>
    <w:rsid w:val="6182796F"/>
    <w:rsid w:val="62CC6BF6"/>
    <w:rsid w:val="645E2E00"/>
    <w:rsid w:val="646206E8"/>
    <w:rsid w:val="657E2B4D"/>
    <w:rsid w:val="65CE126B"/>
    <w:rsid w:val="65E700DA"/>
    <w:rsid w:val="65EC4DE9"/>
    <w:rsid w:val="662B7D84"/>
    <w:rsid w:val="66DC37DF"/>
    <w:rsid w:val="670C202A"/>
    <w:rsid w:val="672F4E69"/>
    <w:rsid w:val="676372EC"/>
    <w:rsid w:val="67F51298"/>
    <w:rsid w:val="68133200"/>
    <w:rsid w:val="683965E5"/>
    <w:rsid w:val="68F41C96"/>
    <w:rsid w:val="69287EE2"/>
    <w:rsid w:val="698D6398"/>
    <w:rsid w:val="69E2415D"/>
    <w:rsid w:val="6AF676F2"/>
    <w:rsid w:val="6B2463A5"/>
    <w:rsid w:val="6BEE2C96"/>
    <w:rsid w:val="6C384437"/>
    <w:rsid w:val="6C46566F"/>
    <w:rsid w:val="6CEC3918"/>
    <w:rsid w:val="6CF5551D"/>
    <w:rsid w:val="6D1710BD"/>
    <w:rsid w:val="6D1839B1"/>
    <w:rsid w:val="6D1E6CC3"/>
    <w:rsid w:val="6D836F9C"/>
    <w:rsid w:val="6F7B76F7"/>
    <w:rsid w:val="6F8469F0"/>
    <w:rsid w:val="6FBD44BC"/>
    <w:rsid w:val="713A2685"/>
    <w:rsid w:val="71EB0593"/>
    <w:rsid w:val="729544E0"/>
    <w:rsid w:val="73843ADD"/>
    <w:rsid w:val="73FE3F12"/>
    <w:rsid w:val="74116C21"/>
    <w:rsid w:val="74695641"/>
    <w:rsid w:val="75230D46"/>
    <w:rsid w:val="75AA43C6"/>
    <w:rsid w:val="75CD0BAA"/>
    <w:rsid w:val="75E90592"/>
    <w:rsid w:val="76CC5ADD"/>
    <w:rsid w:val="76EB7ED4"/>
    <w:rsid w:val="785211C0"/>
    <w:rsid w:val="78B17B2E"/>
    <w:rsid w:val="7A07204E"/>
    <w:rsid w:val="7A0F12E6"/>
    <w:rsid w:val="7A443267"/>
    <w:rsid w:val="7B3103E1"/>
    <w:rsid w:val="7B70782C"/>
    <w:rsid w:val="7BDA0039"/>
    <w:rsid w:val="7BEC5C1D"/>
    <w:rsid w:val="7C625F2A"/>
    <w:rsid w:val="7C842DB4"/>
    <w:rsid w:val="7CC9248C"/>
    <w:rsid w:val="7D834B03"/>
    <w:rsid w:val="7E355A5A"/>
    <w:rsid w:val="7E43770C"/>
    <w:rsid w:val="7E8A65BE"/>
    <w:rsid w:val="7E9267E4"/>
    <w:rsid w:val="7EA10AE0"/>
    <w:rsid w:val="7EC218D0"/>
    <w:rsid w:val="7EDB16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1E2445"/>
  <w15:docId w15:val="{3C3CFC2C-7B20-4EE0-B3E1-F77FE1DFA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180"/>
      <w:jc w:val="both"/>
      <w:textAlignment w:val="baseline"/>
    </w:pPr>
    <w:rPr>
      <w:rFonts w:ascii="Times New Roman" w:eastAsia="Times New Roman" w:hAnsi="Times New Roman"/>
      <w:lang w:eastAsia="en-US"/>
    </w:rPr>
  </w:style>
  <w:style w:type="paragraph" w:styleId="Heading1">
    <w:name w:val="heading 1"/>
    <w:next w:val="Normal"/>
    <w:link w:val="Heading1Char"/>
    <w:qFormat/>
    <w:pPr>
      <w:keepNext/>
      <w:keepLines/>
      <w:numPr>
        <w:numId w:val="1"/>
      </w:numPr>
      <w:pBdr>
        <w:top w:val="single" w:sz="12" w:space="3" w:color="auto"/>
      </w:pBdr>
      <w:tabs>
        <w:tab w:val="left" w:pos="432"/>
      </w:tabs>
      <w:overflowPunct w:val="0"/>
      <w:autoSpaceDE w:val="0"/>
      <w:autoSpaceDN w:val="0"/>
      <w:adjustRightInd w:val="0"/>
      <w:spacing w:beforeLines="50" w:after="120"/>
      <w:textAlignment w:val="baseline"/>
      <w:outlineLvl w:val="0"/>
    </w:pPr>
    <w:rPr>
      <w:rFonts w:ascii="Arial" w:eastAsia="SimSun" w:hAnsi="Arial"/>
      <w:sz w:val="28"/>
      <w:szCs w:val="22"/>
    </w:rPr>
  </w:style>
  <w:style w:type="paragraph" w:styleId="Heading2">
    <w:name w:val="heading 2"/>
    <w:basedOn w:val="Normal"/>
    <w:next w:val="Normal"/>
    <w:qFormat/>
    <w:pPr>
      <w:keepNext/>
      <w:numPr>
        <w:ilvl w:val="1"/>
        <w:numId w:val="1"/>
      </w:numPr>
      <w:tabs>
        <w:tab w:val="left" w:pos="576"/>
      </w:tabs>
      <w:spacing w:before="240" w:after="60"/>
      <w:outlineLvl w:val="1"/>
    </w:pPr>
    <w:rPr>
      <w:rFonts w:ascii="Arial" w:eastAsia="SimSun" w:hAnsi="Arial" w:cs="Arial"/>
      <w:bCs/>
      <w:iCs/>
      <w:sz w:val="28"/>
      <w:szCs w:val="28"/>
      <w:lang w:val="en-US" w:eastAsia="zh-CN"/>
    </w:rPr>
  </w:style>
  <w:style w:type="paragraph" w:styleId="Heading3">
    <w:name w:val="heading 3"/>
    <w:basedOn w:val="Normal"/>
    <w:next w:val="Normal"/>
    <w:qFormat/>
    <w:pPr>
      <w:keepNext/>
      <w:numPr>
        <w:ilvl w:val="2"/>
        <w:numId w:val="1"/>
      </w:numPr>
      <w:tabs>
        <w:tab w:val="left" w:pos="720"/>
      </w:tabs>
      <w:spacing w:before="240" w:after="60"/>
      <w:outlineLvl w:val="2"/>
    </w:pPr>
    <w:rPr>
      <w:rFonts w:cs="Arial"/>
      <w:b/>
      <w:bCs/>
      <w:sz w:val="24"/>
      <w:szCs w:val="26"/>
    </w:rPr>
  </w:style>
  <w:style w:type="paragraph" w:styleId="Heading4">
    <w:name w:val="heading 4"/>
    <w:basedOn w:val="Normal"/>
    <w:next w:val="Normal"/>
    <w:link w:val="Heading4Char"/>
    <w:qFormat/>
    <w:pPr>
      <w:keepNext/>
      <w:numPr>
        <w:ilvl w:val="3"/>
        <w:numId w:val="1"/>
      </w:numPr>
      <w:tabs>
        <w:tab w:val="left" w:pos="864"/>
      </w:tabs>
      <w:spacing w:before="240" w:after="60"/>
      <w:outlineLvl w:val="3"/>
    </w:pPr>
    <w:rPr>
      <w:b/>
      <w:bCs/>
      <w:sz w:val="28"/>
      <w:szCs w:val="28"/>
    </w:rPr>
  </w:style>
  <w:style w:type="paragraph" w:styleId="Heading5">
    <w:name w:val="heading 5"/>
    <w:basedOn w:val="Normal"/>
    <w:next w:val="Normal"/>
    <w:qFormat/>
    <w:pPr>
      <w:numPr>
        <w:ilvl w:val="4"/>
        <w:numId w:val="1"/>
      </w:numPr>
      <w:tabs>
        <w:tab w:val="left" w:pos="1008"/>
      </w:tabs>
      <w:spacing w:before="240" w:after="60"/>
      <w:outlineLvl w:val="4"/>
    </w:pPr>
    <w:rPr>
      <w:b/>
      <w:bCs/>
      <w:i/>
      <w:iCs/>
      <w:sz w:val="26"/>
      <w:szCs w:val="26"/>
    </w:rPr>
  </w:style>
  <w:style w:type="paragraph" w:styleId="Heading6">
    <w:name w:val="heading 6"/>
    <w:basedOn w:val="Normal"/>
    <w:next w:val="Normal"/>
    <w:qFormat/>
    <w:pPr>
      <w:numPr>
        <w:ilvl w:val="5"/>
        <w:numId w:val="1"/>
      </w:numPr>
      <w:tabs>
        <w:tab w:val="left" w:pos="1152"/>
      </w:tabs>
      <w:spacing w:before="240" w:after="60"/>
      <w:outlineLvl w:val="5"/>
    </w:pPr>
    <w:rPr>
      <w:b/>
      <w:bCs/>
      <w:sz w:val="22"/>
      <w:szCs w:val="22"/>
    </w:rPr>
  </w:style>
  <w:style w:type="paragraph" w:styleId="Heading7">
    <w:name w:val="heading 7"/>
    <w:basedOn w:val="Normal"/>
    <w:next w:val="Normal"/>
    <w:qFormat/>
    <w:pPr>
      <w:numPr>
        <w:ilvl w:val="6"/>
        <w:numId w:val="1"/>
      </w:numPr>
      <w:tabs>
        <w:tab w:val="left" w:pos="1296"/>
      </w:tabs>
      <w:spacing w:before="240" w:after="60"/>
      <w:outlineLvl w:val="6"/>
    </w:pPr>
    <w:rPr>
      <w:sz w:val="24"/>
      <w:szCs w:val="24"/>
    </w:rPr>
  </w:style>
  <w:style w:type="paragraph" w:styleId="Heading8">
    <w:name w:val="heading 8"/>
    <w:basedOn w:val="Normal"/>
    <w:next w:val="NormalIndent"/>
    <w:link w:val="Heading8Char"/>
    <w:qFormat/>
    <w:pPr>
      <w:keepNext/>
      <w:keepLines/>
      <w:widowControl w:val="0"/>
      <w:numPr>
        <w:ilvl w:val="7"/>
        <w:numId w:val="1"/>
      </w:numPr>
      <w:tabs>
        <w:tab w:val="left" w:pos="1440"/>
      </w:tabs>
      <w:overflowPunct/>
      <w:autoSpaceDE/>
      <w:autoSpaceDN/>
      <w:adjustRightInd/>
      <w:spacing w:before="120" w:after="120"/>
      <w:textAlignment w:val="auto"/>
      <w:outlineLvl w:val="7"/>
    </w:pPr>
    <w:rPr>
      <w:rFonts w:ascii="Arial" w:eastAsia="SimSun" w:hAnsi="Arial"/>
      <w:kern w:val="2"/>
      <w:sz w:val="21"/>
      <w:szCs w:val="24"/>
      <w:lang w:val="en-US" w:eastAsia="zh-CN"/>
    </w:rPr>
  </w:style>
  <w:style w:type="paragraph" w:styleId="Heading9">
    <w:name w:val="heading 9"/>
    <w:basedOn w:val="Normal"/>
    <w:next w:val="NormalIndent"/>
    <w:link w:val="Heading9Char"/>
    <w:qFormat/>
    <w:pPr>
      <w:keepNext/>
      <w:keepLines/>
      <w:widowControl w:val="0"/>
      <w:numPr>
        <w:ilvl w:val="8"/>
        <w:numId w:val="1"/>
      </w:numPr>
      <w:tabs>
        <w:tab w:val="left" w:pos="1584"/>
      </w:tabs>
      <w:overflowPunct/>
      <w:autoSpaceDE/>
      <w:autoSpaceDN/>
      <w:adjustRightInd/>
      <w:spacing w:before="120" w:after="120"/>
      <w:textAlignment w:val="auto"/>
      <w:outlineLvl w:val="8"/>
    </w:pPr>
    <w:rPr>
      <w:rFonts w:ascii="Arial" w:eastAsia="SimSun"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qFormat/>
    <w:pPr>
      <w:ind w:firstLineChars="200" w:firstLine="420"/>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nhideWhenUsed/>
    <w:qFormat/>
  </w:style>
  <w:style w:type="paragraph" w:styleId="ListNumber">
    <w:name w:val="List Number"/>
    <w:basedOn w:val="Normal"/>
    <w:qFormat/>
    <w:pPr>
      <w:widowControl w:val="0"/>
      <w:overflowPunct/>
      <w:autoSpaceDE/>
      <w:autoSpaceDN/>
      <w:adjustRightInd/>
      <w:snapToGrid w:val="0"/>
      <w:spacing w:beforeLines="100" w:after="0" w:line="460" w:lineRule="exact"/>
      <w:ind w:firstLine="567"/>
    </w:pPr>
    <w:rPr>
      <w:rFonts w:eastAsia="KaiTi_GB2312"/>
      <w:snapToGrid w:val="0"/>
      <w:sz w:val="28"/>
      <w:szCs w:val="28"/>
      <w:lang w:val="en-US" w:eastAsia="zh-CN"/>
    </w:rPr>
  </w:style>
  <w:style w:type="paragraph" w:styleId="Caption">
    <w:name w:val="caption"/>
    <w:basedOn w:val="Normal"/>
    <w:next w:val="Normal"/>
    <w:link w:val="CaptionChar"/>
    <w:qFormat/>
    <w:rPr>
      <w:b/>
      <w:bCs/>
    </w:rPr>
  </w:style>
  <w:style w:type="paragraph" w:styleId="ListBullet">
    <w:name w:val="List Bullet"/>
    <w:basedOn w:val="BodyText"/>
    <w:qFormat/>
    <w:pPr>
      <w:tabs>
        <w:tab w:val="left" w:pos="510"/>
      </w:tabs>
      <w:overflowPunct w:val="0"/>
      <w:autoSpaceDE w:val="0"/>
      <w:autoSpaceDN w:val="0"/>
      <w:adjustRightInd w:val="0"/>
      <w:spacing w:after="120"/>
      <w:ind w:left="510" w:hanging="397"/>
      <w:textAlignment w:val="baseline"/>
    </w:pPr>
    <w:rPr>
      <w:rFonts w:ascii="Arial" w:eastAsia="Times New Roman" w:hAnsi="Arial"/>
      <w:lang w:eastAsia="zh-CN"/>
    </w:rPr>
  </w:style>
  <w:style w:type="paragraph" w:styleId="BodyText">
    <w:name w:val="Body Text"/>
    <w:basedOn w:val="Normal"/>
    <w:qFormat/>
    <w:pPr>
      <w:overflowPunct/>
      <w:autoSpaceDE/>
      <w:autoSpaceDN/>
      <w:adjustRightInd/>
      <w:textAlignment w:val="auto"/>
    </w:pPr>
    <w:rPr>
      <w:rFonts w:eastAsia="MS Mincho"/>
    </w:rPr>
  </w:style>
  <w:style w:type="paragraph" w:styleId="DocumentMap">
    <w:name w:val="Document Map"/>
    <w:basedOn w:val="Normal"/>
    <w:semiHidden/>
    <w:qFormat/>
    <w:pPr>
      <w:shd w:val="clear" w:color="auto" w:fill="000080"/>
    </w:pPr>
    <w:rPr>
      <w:rFonts w:ascii="Tahoma" w:hAnsi="Tahoma" w:cs="Tahoma"/>
    </w:rPr>
  </w:style>
  <w:style w:type="paragraph" w:styleId="BodyTextIndent">
    <w:name w:val="Body Text Indent"/>
    <w:basedOn w:val="Normal"/>
    <w:qFormat/>
    <w:pPr>
      <w:spacing w:after="120"/>
      <w:ind w:left="283"/>
    </w:pPr>
  </w:style>
  <w:style w:type="paragraph" w:styleId="BalloonText">
    <w:name w:val="Balloon Text"/>
    <w:basedOn w:val="Normal"/>
    <w:link w:val="BalloonTextChar"/>
    <w:uiPriority w:val="99"/>
    <w:unhideWhenUsed/>
    <w:qFormat/>
    <w:pPr>
      <w:spacing w:after="0"/>
    </w:pPr>
    <w:rPr>
      <w:rFonts w:ascii="Tahoma" w:hAnsi="Tahoma" w:cs="Tahoma"/>
      <w:sz w:val="16"/>
      <w:szCs w:val="16"/>
    </w:rPr>
  </w:style>
  <w:style w:type="paragraph" w:styleId="Footer">
    <w:name w:val="footer"/>
    <w:basedOn w:val="Normal"/>
    <w:link w:val="FooterChar"/>
    <w:uiPriority w:val="99"/>
    <w:unhideWhenUsed/>
    <w:qFormat/>
    <w:pPr>
      <w:tabs>
        <w:tab w:val="center" w:pos="4513"/>
        <w:tab w:val="right" w:pos="9026"/>
      </w:tabs>
      <w:snapToGrid w:val="0"/>
    </w:p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US" w:eastAsia="en-US"/>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eastAsia="SimSun" w:hAnsi="Arial"/>
      <w:b/>
      <w:szCs w:val="22"/>
      <w:lang w:val="en-US"/>
    </w:rPr>
  </w:style>
  <w:style w:type="paragraph" w:styleId="List">
    <w:name w:val="List"/>
    <w:basedOn w:val="Normal"/>
    <w:qFormat/>
    <w:pPr>
      <w:ind w:left="283" w:hanging="283"/>
    </w:pPr>
  </w:style>
  <w:style w:type="paragraph" w:styleId="NormalWeb">
    <w:name w:val="Normal (Web)"/>
    <w:basedOn w:val="Normal"/>
    <w:uiPriority w:val="99"/>
    <w:qFormat/>
    <w:pPr>
      <w:overflowPunct/>
      <w:autoSpaceDE/>
      <w:autoSpaceDN/>
      <w:adjustRightInd/>
      <w:spacing w:before="100" w:beforeAutospacing="1" w:after="100" w:afterAutospacing="1"/>
      <w:textAlignment w:val="auto"/>
    </w:pPr>
    <w:rPr>
      <w:rFonts w:eastAsia="SimSun"/>
      <w:sz w:val="24"/>
      <w:szCs w:val="24"/>
      <w:lang w:val="en-US" w:eastAsia="zh-CN" w:bidi="he-IL"/>
    </w:rPr>
  </w:style>
  <w:style w:type="character" w:styleId="Strong">
    <w:name w:val="Strong"/>
    <w:basedOn w:val="DefaultParagraphFont"/>
    <w:uiPriority w:val="22"/>
    <w:qFormat/>
    <w:rPr>
      <w:b/>
      <w:bCs/>
    </w:rPr>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unhideWhenUsed/>
    <w:qFormat/>
    <w:rPr>
      <w:sz w:val="16"/>
      <w:szCs w:val="16"/>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lang w:val="en-GB"/>
    </w:rPr>
  </w:style>
  <w:style w:type="character" w:customStyle="1" w:styleId="CaptionChar">
    <w:name w:val="Caption Char"/>
    <w:basedOn w:val="DefaultParagraphFont"/>
    <w:link w:val="Caption"/>
    <w:qFormat/>
    <w:rPr>
      <w:b/>
      <w:bCs/>
      <w:lang w:val="en-GB" w:eastAsia="en-US" w:bidi="ar-SA"/>
    </w:rPr>
  </w:style>
  <w:style w:type="character" w:customStyle="1" w:styleId="B1">
    <w:name w:val="B1 (文字)"/>
    <w:basedOn w:val="DefaultParagraphFont"/>
    <w:qFormat/>
    <w:rPr>
      <w:rFonts w:eastAsia="Times New Roman"/>
    </w:rPr>
  </w:style>
  <w:style w:type="character" w:customStyle="1" w:styleId="d2035Char">
    <w:name w:val="样式 正文缩进d + 首行缩进:  2 字符 段前: 0.35 行 Char"/>
    <w:basedOn w:val="DefaultParagraphFont"/>
    <w:link w:val="d2035"/>
    <w:qFormat/>
    <w:locked/>
    <w:rPr>
      <w:rFonts w:ascii="Times New Roman" w:eastAsia="KaiTi_GB2312" w:hAnsi="Times New Roman" w:cs="SimSun"/>
      <w:snapToGrid w:val="0"/>
      <w:sz w:val="28"/>
    </w:rPr>
  </w:style>
  <w:style w:type="paragraph" w:customStyle="1" w:styleId="d2035">
    <w:name w:val="样式 正文缩进d + 首行缩进:  2 字符 段前: 0.35 行"/>
    <w:basedOn w:val="NormalIndent"/>
    <w:link w:val="d2035Char"/>
    <w:qFormat/>
    <w:pPr>
      <w:widowControl w:val="0"/>
      <w:overflowPunct/>
      <w:autoSpaceDE/>
      <w:autoSpaceDN/>
      <w:snapToGrid w:val="0"/>
      <w:spacing w:beforeLines="35" w:after="0" w:line="460" w:lineRule="exact"/>
      <w:ind w:firstLine="560"/>
    </w:pPr>
    <w:rPr>
      <w:rFonts w:eastAsia="KaiTi_GB2312" w:cs="SimSun"/>
      <w:snapToGrid w:val="0"/>
      <w:sz w:val="28"/>
      <w:lang w:val="en-US" w:eastAsia="zh-CN"/>
    </w:rPr>
  </w:style>
  <w:style w:type="character" w:customStyle="1" w:styleId="Heading1Char">
    <w:name w:val="Heading 1 Char"/>
    <w:basedOn w:val="DefaultParagraphFont"/>
    <w:link w:val="Heading1"/>
    <w:qFormat/>
    <w:rPr>
      <w:rFonts w:ascii="Arial" w:eastAsia="SimSun" w:hAnsi="Arial"/>
      <w:sz w:val="28"/>
      <w:szCs w:val="22"/>
      <w:lang w:val="en-GB"/>
    </w:rPr>
  </w:style>
  <w:style w:type="character" w:customStyle="1" w:styleId="Heading4Char">
    <w:name w:val="Heading 4 Char"/>
    <w:basedOn w:val="DefaultParagraphFont"/>
    <w:link w:val="Heading4"/>
    <w:qFormat/>
    <w:rPr>
      <w:rFonts w:ascii="Times New Roman" w:eastAsia="Times New Roman" w:hAnsi="Times New Roman"/>
      <w:b/>
      <w:bCs/>
      <w:sz w:val="28"/>
      <w:szCs w:val="28"/>
      <w:lang w:val="en-GB" w:eastAsia="en-US"/>
    </w:rPr>
  </w:style>
  <w:style w:type="character" w:customStyle="1" w:styleId="CommentTextChar">
    <w:name w:val="Comment Text Char"/>
    <w:basedOn w:val="DefaultParagraphFont"/>
    <w:link w:val="CommentText"/>
    <w:semiHidden/>
    <w:qFormat/>
    <w:rPr>
      <w:rFonts w:ascii="Times New Roman" w:eastAsia="Times New Roman" w:hAnsi="Times New Roman" w:cs="Times New Roman"/>
      <w:sz w:val="20"/>
      <w:szCs w:val="20"/>
      <w:lang w:val="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jc w:val="center"/>
    </w:pPr>
    <w:rPr>
      <w:rFonts w:ascii="Arial" w:hAnsi="Arial"/>
      <w:b/>
      <w:lang w:eastAsia="en-GB"/>
    </w:rPr>
  </w:style>
  <w:style w:type="character" w:customStyle="1" w:styleId="Heading8Char">
    <w:name w:val="Heading 8 Char"/>
    <w:basedOn w:val="DefaultParagraphFont"/>
    <w:link w:val="Heading8"/>
    <w:qFormat/>
    <w:rPr>
      <w:rFonts w:ascii="Arial" w:eastAsia="SimSun" w:hAnsi="Arial"/>
      <w:kern w:val="2"/>
      <w:sz w:val="21"/>
      <w:szCs w:val="24"/>
    </w:rPr>
  </w:style>
  <w:style w:type="character" w:customStyle="1" w:styleId="TALChar">
    <w:name w:val="TAL Char"/>
    <w:basedOn w:val="DefaultParagraphFont"/>
    <w:link w:val="TAL"/>
    <w:qFormat/>
    <w:rPr>
      <w:rFonts w:ascii="Arial" w:hAnsi="Arial"/>
      <w:sz w:val="18"/>
      <w:lang w:val="en-GB" w:eastAsia="ja-JP" w:bidi="ar-SA"/>
    </w:rPr>
  </w:style>
  <w:style w:type="paragraph" w:customStyle="1" w:styleId="TAL">
    <w:name w:val="TAL"/>
    <w:basedOn w:val="Normal"/>
    <w:link w:val="TALChar"/>
    <w:qFormat/>
    <w:pPr>
      <w:keepNext/>
      <w:keepLines/>
      <w:spacing w:after="0"/>
    </w:pPr>
    <w:rPr>
      <w:rFonts w:ascii="Arial" w:hAnsi="Arial"/>
      <w:sz w:val="18"/>
      <w:lang w:eastAsia="ja-JP"/>
    </w:rPr>
  </w:style>
  <w:style w:type="character" w:customStyle="1" w:styleId="TextCar">
    <w:name w:val="Text Car"/>
    <w:basedOn w:val="DefaultParagraphFont"/>
    <w:link w:val="Text"/>
    <w:qFormat/>
    <w:rPr>
      <w:rFonts w:ascii="Arial" w:hAnsi="Arial"/>
      <w:lang w:val="en-US" w:eastAsia="en-US" w:bidi="ar-SA"/>
    </w:rPr>
  </w:style>
  <w:style w:type="paragraph" w:customStyle="1" w:styleId="Text">
    <w:name w:val="Text"/>
    <w:basedOn w:val="Normal"/>
    <w:link w:val="TextCar"/>
    <w:qFormat/>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HeaderChar">
    <w:name w:val="Header Char"/>
    <w:basedOn w:val="DefaultParagraphFont"/>
    <w:link w:val="Header"/>
    <w:qFormat/>
    <w:rPr>
      <w:rFonts w:ascii="Arial" w:eastAsia="Times New Roman" w:hAnsi="Arial"/>
      <w:b/>
      <w:sz w:val="18"/>
      <w:lang w:val="en-US" w:eastAsia="en-US" w:bidi="ar-SA"/>
    </w:rPr>
  </w:style>
  <w:style w:type="character" w:customStyle="1" w:styleId="Heading9Char">
    <w:name w:val="Heading 9 Char"/>
    <w:basedOn w:val="DefaultParagraphFont"/>
    <w:link w:val="Heading9"/>
    <w:qFormat/>
    <w:rPr>
      <w:rFonts w:ascii="Arial" w:eastAsia="SimSun" w:hAnsi="Arial"/>
      <w:kern w:val="2"/>
      <w:sz w:val="21"/>
      <w:szCs w:val="24"/>
    </w:rPr>
  </w:style>
  <w:style w:type="character" w:customStyle="1" w:styleId="Doc-titleChar">
    <w:name w:val="Doc-title Char"/>
    <w:basedOn w:val="DefaultParagraphFont"/>
    <w:link w:val="Doc-title"/>
    <w:qFormat/>
    <w:rPr>
      <w:rFonts w:ascii="Arial" w:eastAsia="MS Mincho" w:hAnsi="Arial"/>
      <w:szCs w:val="24"/>
      <w:lang w:val="en-GB" w:eastAsia="en-GB" w:bidi="ar-SA"/>
    </w:rPr>
  </w:style>
  <w:style w:type="paragraph" w:customStyle="1" w:styleId="Doc-title">
    <w:name w:val="Doc-title"/>
    <w:basedOn w:val="Normal"/>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val="en-GB"/>
    </w:rPr>
  </w:style>
  <w:style w:type="character" w:customStyle="1" w:styleId="FooterChar">
    <w:name w:val="Footer Char"/>
    <w:basedOn w:val="DefaultParagraphFont"/>
    <w:link w:val="Footer"/>
    <w:uiPriority w:val="99"/>
    <w:qFormat/>
    <w:rPr>
      <w:rFonts w:ascii="Times New Roman" w:eastAsia="Times New Roman" w:hAnsi="Times New Roman"/>
      <w:lang w:val="en-GB" w:eastAsia="en-US"/>
    </w:rPr>
  </w:style>
  <w:style w:type="character" w:customStyle="1" w:styleId="Doc-text2Char">
    <w:name w:val="Doc-text2 Char"/>
    <w:basedOn w:val="DefaultParagraphFont"/>
    <w:link w:val="Doc-text2"/>
    <w:qFormat/>
    <w:rPr>
      <w:rFonts w:ascii="Arial" w:eastAsia="MS Mincho" w:hAnsi="Arial"/>
      <w:szCs w:val="24"/>
      <w:lang w:val="en-GB" w:eastAsia="en-GB" w:bidi="ar-SA"/>
    </w:rPr>
  </w:style>
  <w:style w:type="character" w:customStyle="1" w:styleId="B1Char1">
    <w:name w:val="B1 Char1"/>
    <w:basedOn w:val="DefaultParagraphFont"/>
    <w:link w:val="B10"/>
    <w:qFormat/>
    <w:rPr>
      <w:rFonts w:eastAsia="MS Mincho"/>
      <w:lang w:val="en-GB" w:eastAsia="en-US" w:bidi="ar-SA"/>
    </w:rPr>
  </w:style>
  <w:style w:type="paragraph" w:customStyle="1" w:styleId="B10">
    <w:name w:val="B1"/>
    <w:basedOn w:val="List"/>
    <w:link w:val="B1Char1"/>
    <w:qFormat/>
    <w:pPr>
      <w:overflowPunct/>
      <w:autoSpaceDE/>
      <w:autoSpaceDN/>
      <w:adjustRightInd/>
      <w:ind w:left="568" w:hanging="284"/>
      <w:textAlignment w:val="auto"/>
    </w:pPr>
    <w:rPr>
      <w:rFonts w:eastAsia="MS Mincho"/>
    </w:rPr>
  </w:style>
  <w:style w:type="character" w:customStyle="1" w:styleId="NOChar">
    <w:name w:val="NO Char"/>
    <w:basedOn w:val="DefaultParagraphFont"/>
    <w:link w:val="NO"/>
    <w:qFormat/>
    <w:rPr>
      <w:rFonts w:eastAsia="MS Mincho"/>
      <w:lang w:val="en-GB" w:eastAsia="en-US" w:bidi="ar-SA"/>
    </w:rPr>
  </w:style>
  <w:style w:type="paragraph" w:customStyle="1" w:styleId="NO">
    <w:name w:val="NO"/>
    <w:basedOn w:val="Normal"/>
    <w:link w:val="NOChar"/>
    <w:qFormat/>
    <w:pPr>
      <w:keepLines/>
      <w:overflowPunct/>
      <w:autoSpaceDE/>
      <w:autoSpaceDN/>
      <w:adjustRightInd/>
      <w:ind w:left="1135" w:hanging="851"/>
      <w:textAlignment w:val="auto"/>
    </w:pPr>
    <w:rPr>
      <w:rFonts w:eastAsia="MS Mincho"/>
    </w:rPr>
  </w:style>
  <w:style w:type="character" w:customStyle="1" w:styleId="TAHChar">
    <w:name w:val="TAH Char"/>
    <w:basedOn w:val="DefaultParagraphFont"/>
    <w:link w:val="TAH"/>
    <w:qFormat/>
    <w:rPr>
      <w:rFonts w:ascii="Arial" w:hAnsi="Arial"/>
      <w:b/>
      <w:sz w:val="18"/>
      <w:lang w:val="en-GB" w:eastAsia="ja-JP" w:bidi="ar-SA"/>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soins0">
    <w:name w:val="msoins"/>
    <w:basedOn w:val="DefaultParagraphFont"/>
    <w:qFormat/>
  </w:style>
  <w:style w:type="character" w:customStyle="1" w:styleId="B2Char1">
    <w:name w:val="B2 Char1"/>
    <w:basedOn w:val="CommentTextChar"/>
    <w:link w:val="B2"/>
    <w:qFormat/>
    <w:rPr>
      <w:rFonts w:ascii="Times New Roman" w:eastAsia="Times New Roman" w:hAnsi="Times New Roman" w:cs="Times New Roman"/>
      <w:sz w:val="20"/>
      <w:szCs w:val="20"/>
      <w:lang w:val="en-GB" w:eastAsia="en-US" w:bidi="ar-SA"/>
    </w:rPr>
  </w:style>
  <w:style w:type="paragraph" w:customStyle="1" w:styleId="B2">
    <w:name w:val="B2"/>
    <w:basedOn w:val="Normal"/>
    <w:link w:val="B2Char1"/>
    <w:qFormat/>
    <w:pPr>
      <w:overflowPunct/>
      <w:autoSpaceDE/>
      <w:autoSpaceDN/>
      <w:adjustRightInd/>
      <w:ind w:left="851" w:hanging="284"/>
      <w:textAlignment w:val="auto"/>
    </w:pPr>
  </w:style>
  <w:style w:type="character" w:customStyle="1" w:styleId="TALLeft100cmCharChar">
    <w:name w:val="TAL + Left:  1.00 cm Char Char"/>
    <w:basedOn w:val="TAL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character" w:customStyle="1" w:styleId="headeroddChar">
    <w:name w:val="header odd Char"/>
    <w:basedOn w:val="DefaultParagraphFont"/>
    <w:qFormat/>
    <w:rPr>
      <w:lang w:val="en-GB" w:eastAsia="en-US" w:bidi="ar-SA"/>
    </w:rPr>
  </w:style>
  <w:style w:type="character" w:customStyle="1" w:styleId="B1Char">
    <w:name w:val="B1 Char"/>
    <w:basedOn w:val="DefaultParagraphFont"/>
    <w:qFormat/>
    <w:rPr>
      <w:rFonts w:ascii="Times New Roman" w:hAnsi="Times New Roman"/>
      <w:lang w:val="en-GB" w:eastAsia="en-US"/>
    </w:rPr>
  </w:style>
  <w:style w:type="character" w:customStyle="1" w:styleId="PLChar">
    <w:name w:val="PL Char"/>
    <w:basedOn w:val="DefaultParagraphFont"/>
    <w:link w:val="PL"/>
    <w:qFormat/>
    <w:rPr>
      <w:rFonts w:ascii="Courier New" w:eastAsia="SimSun"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eastAsia="ja-JP"/>
    </w:rPr>
  </w:style>
  <w:style w:type="character" w:customStyle="1" w:styleId="TACChar">
    <w:name w:val="TAC Char"/>
    <w:link w:val="TAC"/>
    <w:qFormat/>
    <w:rPr>
      <w:rFonts w:ascii="Arial" w:eastAsia="Times New Roman" w:hAnsi="Arial"/>
      <w:sz w:val="18"/>
      <w:lang w:val="en-GB" w:eastAsia="ja-JP"/>
    </w:rPr>
  </w:style>
  <w:style w:type="character" w:customStyle="1" w:styleId="1">
    <w:name w:val="占位符文本1"/>
    <w:basedOn w:val="DefaultParagraphFont"/>
    <w:uiPriority w:val="99"/>
    <w:semiHidden/>
    <w:qFormat/>
    <w:rPr>
      <w:color w:val="808080"/>
    </w:rPr>
  </w:style>
  <w:style w:type="character" w:customStyle="1" w:styleId="MTEquationSection">
    <w:name w:val="MTEquationSection"/>
    <w:basedOn w:val="DefaultParagraphFont"/>
    <w:qFormat/>
    <w:rPr>
      <w:rFonts w:cs="Arial"/>
      <w:bCs/>
      <w:vanish/>
      <w:color w:val="FF0000"/>
      <w:sz w:val="28"/>
      <w:szCs w:val="28"/>
      <w:lang w:eastAsia="zh-CN"/>
    </w:rPr>
  </w:style>
  <w:style w:type="character" w:customStyle="1" w:styleId="MTDisplayEquationChar">
    <w:name w:val="MTDisplayEquation Char"/>
    <w:basedOn w:val="DefaultParagraphFont"/>
    <w:link w:val="MTDisplayEquation"/>
    <w:qFormat/>
    <w:rPr>
      <w:rFonts w:ascii="Times New Roman" w:eastAsia="SimSun" w:hAnsi="Times New Roman"/>
    </w:rPr>
  </w:style>
  <w:style w:type="paragraph" w:customStyle="1" w:styleId="MTDisplayEquation">
    <w:name w:val="MTDisplayEquation"/>
    <w:basedOn w:val="Normal"/>
    <w:next w:val="Normal"/>
    <w:link w:val="MTDisplayEquationChar"/>
    <w:qFormat/>
    <w:pPr>
      <w:tabs>
        <w:tab w:val="center" w:pos="4680"/>
        <w:tab w:val="right" w:pos="9360"/>
      </w:tabs>
    </w:pPr>
    <w:rPr>
      <w:rFonts w:eastAsia="SimSun"/>
      <w:lang w:val="en-US" w:eastAsia="zh-CN"/>
    </w:rPr>
  </w:style>
  <w:style w:type="character" w:customStyle="1" w:styleId="apple-converted-space">
    <w:name w:val="apple-converted-space"/>
    <w:basedOn w:val="DefaultParagraphFont"/>
    <w:qFormat/>
  </w:style>
  <w:style w:type="character" w:customStyle="1" w:styleId="Char">
    <w:name w:val="列出段落 Char"/>
    <w:link w:val="10"/>
    <w:uiPriority w:val="72"/>
    <w:qFormat/>
    <w:rPr>
      <w:rFonts w:ascii="SimSun" w:eastAsia="SimSun" w:hAnsi="SimSun" w:cs="SimSun"/>
      <w:sz w:val="24"/>
      <w:szCs w:val="24"/>
    </w:rPr>
  </w:style>
  <w:style w:type="paragraph" w:customStyle="1" w:styleId="10">
    <w:name w:val="列出段落1"/>
    <w:basedOn w:val="Normal"/>
    <w:link w:val="Char"/>
    <w:uiPriority w:val="72"/>
    <w:qFormat/>
    <w:pPr>
      <w:overflowPunct/>
      <w:autoSpaceDE/>
      <w:autoSpaceDN/>
      <w:adjustRightInd/>
      <w:spacing w:after="0"/>
      <w:ind w:firstLineChars="200" w:firstLine="420"/>
      <w:textAlignment w:val="auto"/>
    </w:pPr>
    <w:rPr>
      <w:rFonts w:ascii="SimSun" w:eastAsia="SimSun" w:hAnsi="SimSun"/>
      <w:sz w:val="24"/>
      <w:szCs w:val="24"/>
    </w:rPr>
  </w:style>
  <w:style w:type="paragraph" w:customStyle="1" w:styleId="TALLeft125cm">
    <w:name w:val="TAL + Left: 125 cm"/>
    <w:basedOn w:val="Normal"/>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Normal"/>
    <w:qFormat/>
    <w:pPr>
      <w:tabs>
        <w:tab w:val="left" w:pos="420"/>
      </w:tabs>
      <w:ind w:left="420" w:right="-99" w:hanging="420"/>
    </w:pPr>
    <w:rPr>
      <w:rFonts w:eastAsia="MS Mincho"/>
      <w:sz w:val="22"/>
    </w:rPr>
  </w:style>
  <w:style w:type="paragraph" w:customStyle="1" w:styleId="CRCoverPage">
    <w:name w:val="CR Cover Page"/>
    <w:qFormat/>
    <w:pPr>
      <w:spacing w:after="120"/>
    </w:pPr>
    <w:rPr>
      <w:rFonts w:ascii="Arial" w:eastAsia="MS Mincho" w:hAnsi="Arial"/>
      <w:lang w:eastAsia="en-US"/>
    </w:rPr>
  </w:style>
  <w:style w:type="paragraph" w:customStyle="1" w:styleId="a">
    <w:name w:val="附图正文"/>
    <w:basedOn w:val="Normal"/>
    <w:qFormat/>
    <w:pPr>
      <w:widowControl w:val="0"/>
      <w:overflowPunct/>
      <w:autoSpaceDE/>
      <w:autoSpaceDN/>
      <w:snapToGrid w:val="0"/>
      <w:spacing w:after="0"/>
    </w:pPr>
    <w:rPr>
      <w:rFonts w:eastAsia="SimSun"/>
      <w:bCs/>
      <w:snapToGrid w:val="0"/>
      <w:sz w:val="28"/>
      <w:lang w:val="en-US" w:eastAsia="zh-CN"/>
    </w:rPr>
  </w:style>
  <w:style w:type="paragraph" w:customStyle="1" w:styleId="11">
    <w:name w:val="修订1"/>
    <w:uiPriority w:val="99"/>
    <w:semiHidden/>
    <w:qFormat/>
    <w:rPr>
      <w:rFonts w:ascii="Times New Roman" w:eastAsia="Times New Roman" w:hAnsi="Times New Roman"/>
      <w:lang w:eastAsia="en-US"/>
    </w:rPr>
  </w:style>
  <w:style w:type="paragraph" w:customStyle="1" w:styleId="EQ">
    <w:name w:val="EQ"/>
    <w:basedOn w:val="Normal"/>
    <w:next w:val="Normal"/>
    <w:qFormat/>
    <w:pPr>
      <w:keepLines/>
      <w:tabs>
        <w:tab w:val="center" w:pos="4536"/>
        <w:tab w:val="right" w:pos="9072"/>
      </w:tabs>
    </w:pPr>
    <w:rPr>
      <w:lang w:val="en-US" w:eastAsia="en-GB"/>
    </w:rPr>
  </w:style>
  <w:style w:type="paragraph" w:customStyle="1" w:styleId="doc-text20">
    <w:name w:val="doc-text2"/>
    <w:basedOn w:val="Normal"/>
    <w:qFormat/>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ListParagraph1">
    <w:name w:val="List Paragraph1"/>
    <w:basedOn w:val="Normal"/>
    <w:uiPriority w:val="34"/>
    <w:qFormat/>
    <w:pPr>
      <w:ind w:left="720"/>
      <w:contextualSpacing/>
    </w:pPr>
  </w:style>
  <w:style w:type="paragraph" w:customStyle="1" w:styleId="CharChar13CharChar">
    <w:name w:val="Char Char13 (文字) (文字) Char Char"/>
    <w:basedOn w:val="Normal"/>
    <w:qFormat/>
    <w:pPr>
      <w:widowControl w:val="0"/>
      <w:overflowPunct/>
      <w:autoSpaceDE/>
      <w:autoSpaceDN/>
      <w:adjustRightInd/>
      <w:spacing w:after="0"/>
      <w:textAlignment w:val="auto"/>
    </w:pPr>
    <w:rPr>
      <w:rFonts w:eastAsia="SimSun"/>
      <w:kern w:val="2"/>
      <w:sz w:val="21"/>
      <w:szCs w:val="24"/>
      <w:lang w:val="en-US" w:eastAsia="zh-CN"/>
    </w:rPr>
  </w:style>
  <w:style w:type="paragraph" w:customStyle="1" w:styleId="StyleNumberedLatinBoldBefore0cmHanging063cm">
    <w:name w:val="Style Numbered (Latin) Bold Before:  0 cm Hanging:  063 cm"/>
    <w:next w:val="List"/>
    <w:qFormat/>
    <w:pPr>
      <w:tabs>
        <w:tab w:val="left" w:pos="360"/>
      </w:tabs>
      <w:ind w:left="360" w:hanging="360"/>
    </w:pPr>
    <w:rPr>
      <w:rFonts w:ascii="Times New Roman" w:eastAsia="MS Mincho" w:hAnsi="Times New Roman"/>
      <w:lang w:eastAsia="en-US"/>
    </w:rPr>
  </w:style>
  <w:style w:type="paragraph" w:customStyle="1" w:styleId="Observation">
    <w:name w:val="Observation"/>
    <w:basedOn w:val="Normal"/>
    <w:qFormat/>
    <w:pPr>
      <w:tabs>
        <w:tab w:val="left" w:pos="1701"/>
      </w:tabs>
      <w:spacing w:after="120"/>
      <w:ind w:left="360" w:hanging="360"/>
    </w:pPr>
    <w:rPr>
      <w:rFonts w:ascii="Arial" w:eastAsia="SimSun" w:hAnsi="Arial"/>
      <w:b/>
      <w:bCs/>
      <w:lang w:eastAsia="zh-CN"/>
    </w:rPr>
  </w:style>
  <w:style w:type="paragraph" w:customStyle="1" w:styleId="3GPPHeader">
    <w:name w:val="3GPP_Header"/>
    <w:basedOn w:val="Normal"/>
    <w:qFormat/>
    <w:pPr>
      <w:tabs>
        <w:tab w:val="left" w:pos="1701"/>
        <w:tab w:val="right" w:pos="9639"/>
      </w:tabs>
      <w:spacing w:after="240"/>
    </w:pPr>
    <w:rPr>
      <w:rFonts w:ascii="Arial" w:hAnsi="Arial"/>
      <w:b/>
      <w:sz w:val="24"/>
      <w:lang w:eastAsia="zh-CN"/>
    </w:rPr>
  </w:style>
  <w:style w:type="paragraph" w:customStyle="1" w:styleId="TALLeft10">
    <w:name w:val="TAL + Left: 1"/>
    <w:basedOn w:val="TAL"/>
    <w:qFormat/>
    <w:pPr>
      <w:ind w:left="567"/>
    </w:pPr>
    <w:rPr>
      <w:lang w:eastAsia="en-US"/>
    </w:rPr>
  </w:style>
  <w:style w:type="paragraph" w:customStyle="1" w:styleId="TF">
    <w:name w:val="TF"/>
    <w:basedOn w:val="TH"/>
    <w:qFormat/>
    <w:pPr>
      <w:keepNext w:val="0"/>
      <w:spacing w:before="0" w:after="240"/>
    </w:p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eastAsia="en-US"/>
    </w:rPr>
  </w:style>
  <w:style w:type="paragraph" w:customStyle="1" w:styleId="ACTION">
    <w:name w:val="ACTION"/>
    <w:basedOn w:val="Normal"/>
    <w:qFormat/>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Normal"/>
    <w:uiPriority w:val="34"/>
    <w:qFormat/>
    <w:pPr>
      <w:overflowPunct/>
      <w:autoSpaceDE/>
      <w:autoSpaceDN/>
      <w:adjustRightInd/>
      <w:spacing w:after="0"/>
      <w:ind w:firstLineChars="200" w:firstLine="420"/>
      <w:textAlignment w:val="auto"/>
    </w:pPr>
    <w:rPr>
      <w:rFonts w:ascii="SimSun" w:eastAsia="SimSun" w:hAnsi="SimSun"/>
      <w:sz w:val="24"/>
      <w:szCs w:val="24"/>
    </w:rPr>
  </w:style>
  <w:style w:type="paragraph" w:customStyle="1" w:styleId="2">
    <w:name w:val="修订2"/>
    <w:hidden/>
    <w:uiPriority w:val="99"/>
    <w:semiHidden/>
    <w:qFormat/>
    <w:rPr>
      <w:rFonts w:ascii="Times New Roman" w:eastAsia="Times New Roman" w:hAnsi="Times New Roman"/>
      <w:lang w:eastAsia="en-US"/>
    </w:rPr>
  </w:style>
  <w:style w:type="paragraph" w:customStyle="1" w:styleId="20">
    <w:name w:val="列出段落2"/>
    <w:basedOn w:val="Normal"/>
    <w:uiPriority w:val="99"/>
    <w:qFormat/>
    <w:pPr>
      <w:ind w:firstLineChars="200" w:firstLine="420"/>
    </w:pPr>
  </w:style>
  <w:style w:type="paragraph" w:customStyle="1" w:styleId="3">
    <w:name w:val="列出段落3"/>
    <w:basedOn w:val="Normal"/>
    <w:uiPriority w:val="99"/>
    <w:qFormat/>
    <w:pPr>
      <w:ind w:firstLineChars="200" w:firstLine="420"/>
    </w:pPr>
  </w:style>
  <w:style w:type="paragraph" w:customStyle="1" w:styleId="4">
    <w:name w:val="列出段落4"/>
    <w:basedOn w:val="Normal"/>
    <w:uiPriority w:val="99"/>
    <w:qFormat/>
    <w:pPr>
      <w:ind w:firstLineChars="200" w:firstLine="420"/>
    </w:pPr>
  </w:style>
  <w:style w:type="paragraph" w:styleId="ListParagraph">
    <w:name w:val="List Paragraph"/>
    <w:basedOn w:val="Normal"/>
    <w:uiPriority w:val="34"/>
    <w:qFormat/>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A46B4B-2835-4C65-AAFA-EEFD53DE0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2549</Words>
  <Characters>7624</Characters>
  <Application>Microsoft Office Word</Application>
  <DocSecurity>0</DocSecurity>
  <Lines>2541</Lines>
  <Paragraphs>1271</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8902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Carolyn TAYLOR</cp:lastModifiedBy>
  <cp:revision>4</cp:revision>
  <cp:lastPrinted>2011-10-28T07:16:00Z</cp:lastPrinted>
  <dcterms:created xsi:type="dcterms:W3CDTF">2018-09-28T18:22:00Z</dcterms:created>
  <dcterms:modified xsi:type="dcterms:W3CDTF">2018-09-28T19:42:00Z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2052-10.8.2.6613</vt:lpwstr>
  </property>
</Properties>
</file>